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3540" cy="47625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3000" cy="47556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1pt;height:37.4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lineRule="exact" w:line="356"/>
        <w:ind w:left="720" w:hanging="0"/>
        <w:rPr>
          <w:b w:val="false"/>
          <w:b w:val="false"/>
          <w:bCs w:val="false"/>
        </w:rPr>
      </w:pPr>
      <w:r>
        <w:rPr>
          <w:b w:val="false"/>
          <w:bCs w:val="false"/>
        </w:rPr>
        <w:t>cd labtainer/labtainer-student</w:t>
      </w:r>
    </w:p>
    <w:p>
      <w:pPr>
        <w:pStyle w:val="Western"/>
        <w:spacing w:lineRule="exact" w:line="356"/>
        <w:ind w:left="720" w:hanging="0"/>
        <w:rPr/>
      </w:pPr>
      <w:r>
        <w:rPr>
          <w:b w:val="false"/>
          <w:bCs w:val="false"/>
        </w:rPr>
        <w:t>start.py centos-log</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rFonts w:ascii="Times New Roman" w:hAnsi="Times New Roman" w:cs="Times New Roman"/>
        </w:rPr>
      </w:pPr>
      <w:r>
        <w:rPr>
          <w:rFonts w:cs="Times New Roman" w:ascii="Times New Roman" w:hAnsi="Times New Roman"/>
          <w:b/>
        </w:rPr>
        <w:t>Before logging in, do the following:</w:t>
      </w:r>
    </w:p>
    <w:p>
      <w:pPr>
        <w:pStyle w:val="ListParagraph"/>
        <w:numPr>
          <w:ilvl w:val="0"/>
          <w:numId w:val="7"/>
        </w:numPr>
        <w:rPr/>
      </w:pPr>
      <w:r>
        <w:rPr/>
        <w:t xml:space="preserve">Use the </w:t>
      </w:r>
      <w:r>
        <w:rPr>
          <w:b/>
        </w:rPr>
        <w:t>wrong</w:t>
      </w:r>
      <w:r>
        <w:rPr/>
        <w:t xml:space="preserve"> password to log in as Joe.</w:t>
      </w:r>
    </w:p>
    <w:p>
      <w:pPr>
        <w:pStyle w:val="ListParagraph"/>
        <w:numPr>
          <w:ilvl w:val="0"/>
          <w:numId w:val="7"/>
        </w:numPr>
        <w:rPr/>
      </w:pPr>
      <w:r>
        <w:rPr/>
        <w:t>Then, acting as if you are confused,  enter “ThisIsWrong” as the username (to emulate mistakenly entering your password as your username). Complete the authentication by entering something in the password field.</w:t>
      </w:r>
    </w:p>
    <w:p>
      <w:pPr>
        <w:pStyle w:val="Normal"/>
        <w:ind w:left="36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val="clear" w:fill="D9D9D9"/>
        <w:tabs>
          <w:tab w:val="left" w:pos="-360" w:leader="none"/>
        </w:tabs>
        <w:rPr/>
      </w:pPr>
      <w:r>
        <w:rPr/>
        <w:t xml:space="preserve"> </w:t>
      </w:r>
      <w:r>
        <w:rPr/>
        <w:t>Explore</w:t>
      </w:r>
    </w:p>
    <w:p>
      <w:pPr>
        <w:pStyle w:val="Heading3"/>
        <w:numPr>
          <w:ilvl w:val="0"/>
          <w:numId w:val="6"/>
        </w:numPr>
        <w:spacing w:before="0" w:after="200"/>
        <w:rPr>
          <w:rFonts w:ascii="Times New Roman" w:hAnsi="Times New Roman" w:cs="Times New Roman"/>
          <w:b w:val="false"/>
          <w:b w:val="false"/>
        </w:rPr>
      </w:pPr>
      <w:r>
        <w:rPr>
          <w:rFonts w:cs="Times New Roman" w:ascii="Times New Roman" w:hAnsi="Times New Roman"/>
          <w:b w:val="false"/>
        </w:rPr>
        <w:t>Start a terminal window.</w:t>
      </w:r>
    </w:p>
    <w:p>
      <w:pPr>
        <w:pStyle w:val="ListParagraph"/>
        <w:numPr>
          <w:ilvl w:val="0"/>
          <w:numId w:val="6"/>
        </w:numPr>
        <w:rPr/>
      </w:pPr>
      <w:r>
        <w:rPr>
          <w:b/>
        </w:rPr>
        <w:t xml:space="preserve">Within the terminal, </w:t>
      </w:r>
      <w:r>
        <w:rPr/>
        <w:t xml:space="preserve">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student</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1" w:name="_Ref290905001"/>
      <w:r>
        <w:rPr/>
        <w:t>Reconfigure rsyslog</w:t>
      </w:r>
      <w:bookmarkEnd w:id="1"/>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nano</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2" w:name="_Ref479847270"/>
      <w:r>
        <w:rPr/>
        <w:t xml:space="preserve">Generate a record in </w:t>
      </w:r>
      <w:r>
        <w:rPr>
          <w:rFonts w:cs="Courier New" w:ascii="Courier New" w:hAnsi="Courier New"/>
        </w:rPr>
        <w:t>/var/log/messages</w:t>
      </w:r>
      <w:bookmarkEnd w:id="2"/>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3" w:name="_Ref303839265"/>
      <w:bookmarkStart w:id="4"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5" w:name="_Ref479847543"/>
      <w:r>
        <w:rPr/>
        <w:t>Reopen the syslog configuration file and scroll down to the RULES section.</w:t>
      </w:r>
      <w:bookmarkEnd w:id="5"/>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4"/>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/etc/rsyslog.conf</w:t>
      </w:r>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Normal"/>
        <w:rPr/>
      </w:pPr>
      <w:r>
        <w:rPr/>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sys-log</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1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2017-10-25</w:t>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2483</TotalTime>
  <Application>LibreOffice/5.1.6.2$Linux_X86_64 LibreOffice_project/10m0$Build-2</Application>
  <Pages>9</Pages>
  <Words>2102</Words>
  <Characters>9596</Characters>
  <CharactersWithSpaces>11554</CharactersWithSpaces>
  <Paragraphs>151</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2017-10-30T14:14:24Z</dcterms:modified>
  <cp:revision>154</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