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symkeylab</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“stoplab”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rPr>
        <w:t>Appendix D describes the BMP image format, which is helpful to understand when performing the ECB portion of this lab.</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TextBody"/>
        <w:numPr>
          <w:ilvl w:val="0"/>
          <w:numId w:val="4"/>
        </w:numPr>
        <w:rPr/>
      </w:pPr>
      <w:r>
        <w:rPr>
          <w:rFonts w:cs="Helvetica" w:ascii="Cambria;serif" w:hAnsi="Cambria;serif"/>
          <w:color w:val="000000"/>
        </w:rPr>
        <w:t xml:space="preserve">Create a text file with some small amount of content by either using an editor (e.g., </w:t>
      </w:r>
      <w:r>
        <w:rPr>
          <w:rFonts w:cs="Helvetica" w:ascii="Courier New" w:hAnsi="Courier New"/>
          <w:color w:val="000000"/>
        </w:rPr>
        <w:t>leafpad</w:t>
      </w:r>
      <w:r>
        <w:rPr>
          <w:rFonts w:cs="Helvetica" w:ascii="Cambria;serif" w:hAnsi="Cambria;serif"/>
          <w:color w:val="000000"/>
        </w:rPr>
        <w:t xml:space="preserve">) or the combination of the </w:t>
      </w:r>
      <w:r>
        <w:rPr>
          <w:rFonts w:cs="Helvetica" w:ascii="Courier New" w:hAnsi="Courier New"/>
          <w:color w:val="000000"/>
        </w:rPr>
        <w:t>echo</w:t>
      </w:r>
      <w:r>
        <w:rPr>
          <w:rFonts w:cs="Helvetica"/>
          <w:color w:val="000000"/>
        </w:rPr>
        <w:t xml:space="preserve"> </w:t>
      </w:r>
      <w:r>
        <w:rPr>
          <w:rFonts w:cs="Helvetica" w:ascii="Cambria;serif" w:hAnsi="Cambria;serif"/>
          <w:color w:val="000000"/>
        </w:rPr>
        <w:t>command and redirection (‘&gt;’).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301105" cy="468630"/>
                <wp:effectExtent l="0" t="0" r="0" b="0"/>
                <wp:wrapSquare wrapText="bothSides"/>
                <wp:docPr id="1" name="Text Box 3"/>
                <a:graphic xmlns:a="http://schemas.openxmlformats.org/drawingml/2006/main">
                  <a:graphicData uri="http://schemas.microsoft.com/office/word/2010/wordprocessingShape">
                    <wps:wsp>
                      <wps:cNvSpPr/>
                      <wps:spPr>
                        <a:xfrm>
                          <a:off x="0" y="0"/>
                          <a:ext cx="6300360" cy="468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6.05pt;height:36.8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 or leafpad.</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6630" cy="468630"/>
                <wp:effectExtent l="0" t="0" r="0" b="0"/>
                <wp:wrapSquare wrapText="bothSides"/>
                <wp:docPr id="3" name="Text Box 5"/>
                <a:graphic xmlns:a="http://schemas.openxmlformats.org/drawingml/2006/main">
                  <a:graphicData uri="http://schemas.microsoft.com/office/word/2010/wordprocessingShape">
                    <wps:wsp>
                      <wps:cNvSpPr/>
                      <wps:spPr>
                        <a:xfrm>
                          <a:off x="0" y="0"/>
                          <a:ext cx="7326000" cy="468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8pt;height:36.8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start the firefox browser using this command: </w:t>
      </w:r>
    </w:p>
    <w:p>
      <w:pPr>
        <w:pStyle w:val="Normal"/>
        <w:rPr/>
      </w:pPr>
      <w:r>
        <w:rPr/>
        <w:tab/>
        <w:t>./start_firefox &amp;</w:t>
      </w:r>
    </w:p>
    <w:p>
      <w:pPr>
        <w:pStyle w:val="Normal"/>
        <w:rPr>
          <w:rFonts w:cs="Helvetica"/>
          <w:color w:val="000000"/>
        </w:rPr>
      </w:pPr>
      <w:r>
        <w:rPr>
          <w:rFonts w:cs="Helvetica"/>
          <w:color w:val="000000"/>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135255</wp:posOffset>
                </wp:positionV>
                <wp:extent cx="6993890" cy="282575"/>
                <wp:effectExtent l="0" t="0" r="0" b="0"/>
                <wp:wrapNone/>
                <wp:docPr id="5" name="Frame4"/>
                <a:graphic xmlns:a="http://schemas.openxmlformats.org/drawingml/2006/main">
                  <a:graphicData uri="http://schemas.microsoft.com/office/word/2010/wordprocessingShape">
                    <wps:wsp>
                      <wps:cNvSpPr/>
                      <wps:spPr>
                        <a:xfrm>
                          <a:off x="0" y="0"/>
                          <a:ext cx="6993360" cy="28188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10.65pt;width:550.6pt;height:22.15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ascii="Cambria" w:hAnsi="Cambria" w:asciiTheme="minorHAnsi" w:hAnsiTheme="minorHAnsi"/>
          <w:color w:val="000000"/>
        </w:rPr>
        <w:t>To replace the 54-byte header with one command, do the following</w:t>
      </w:r>
    </w:p>
    <w:p>
      <w:pPr>
        <w:pStyle w:val="ListParagraph"/>
        <w:numPr>
          <w:ilvl w:val="0"/>
          <w:numId w:val="0"/>
        </w:numPr>
        <w:spacing w:lineRule="atLeast" w:line="283" w:before="0" w:after="277"/>
        <w:ind w:left="2160" w:hanging="0"/>
        <w:contextualSpacing/>
        <w:rPr>
          <w:rFonts w:cs="Helvetica"/>
          <w:color w:val="000000"/>
        </w:rPr>
      </w:pPr>
      <w:r>
        <w:rP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5310" cy="467995"/>
                <wp:effectExtent l="0" t="0" r="38100" b="25400"/>
                <wp:wrapSquare wrapText="bothSides"/>
                <wp:docPr id="7" name="Text Box 2"/>
                <a:graphic xmlns:a="http://schemas.openxmlformats.org/drawingml/2006/main">
                  <a:graphicData uri="http://schemas.microsoft.com/office/word/2010/wordprocessingShape">
                    <wps:wsp>
                      <wps:cNvSpPr/>
                      <wps:spPr>
                        <a:xfrm>
                          <a:off x="0" y="0"/>
                          <a:ext cx="6924600" cy="46728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5.2pt;height:36.75pt" wp14:anchorId="56F334D0">
                <w10:wrap type="none"/>
                <v:fill o:detectmouseclick="t" on="false"/>
                <v:stroke color="#3465a4" joinstyle="round" endcap="flat"/>
              </v:rect>
            </w:pict>
          </mc:Fallback>
        </mc:AlternateContent>
      </w:r>
    </w:p>
    <w:p>
      <w:pPr>
        <w:pStyle w:val="ListParagraph"/>
        <w:numPr>
          <w:ilvl w:val="1"/>
          <w:numId w:val="5"/>
        </w:numPr>
        <w:spacing w:lineRule="atLeast" w:line="283" w:before="0" w:after="277"/>
        <w:contextualSpacing/>
        <w:rPr/>
      </w:pP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0"/>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Open the encrypted file using ghex,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ghex ENCRYPTEDFILE</w:t>
      </w:r>
    </w:p>
    <w:p>
      <w:pPr>
        <w:pStyle w:val="Default"/>
        <w:widowControl w:val="false"/>
        <w:numPr>
          <w:ilvl w:val="0"/>
          <w:numId w:val="0"/>
        </w:numPr>
        <w:ind w:left="1440" w:hanging="0"/>
        <w:rPr>
          <w:rFonts w:ascii="Courier New" w:hAnsi="Courier New" w:cs="Courier New"/>
          <w:color w:val="000000"/>
        </w:rPr>
      </w:pPr>
      <w:r>
        <w:rPr>
          <w:rFonts w:cs="Courier New" w:ascii="Courier New" w:hAnsi="Courier New"/>
          <w:color w:val="000000"/>
        </w:rPr>
      </w:r>
    </w:p>
    <w:p>
      <w:pPr>
        <w:pStyle w:val="ListParagraph"/>
        <w:widowControl w:val="false"/>
        <w:numPr>
          <w:ilvl w:val="1"/>
          <w:numId w:val="2"/>
        </w:numPr>
        <w:rPr/>
      </w:pPr>
      <w:r>
        <w:rPr>
          <w:rFonts w:cs="Helvetica" w:ascii="Cambria;serif" w:hAnsi="Cambria;serif"/>
          <w:color w:val="000000"/>
          <w:sz w:val="24"/>
        </w:rPr>
        <w:t xml:space="preserve">Select </w:t>
      </w:r>
      <w:r>
        <w:rPr>
          <w:rFonts w:cs="Helvetica" w:ascii="Cambria;serif" w:hAnsi="Cambria;serif"/>
          <w:b/>
          <w:color w:val="000000"/>
          <w:sz w:val="24"/>
        </w:rPr>
        <w:t>Edit &gt; Goto Byte</w:t>
      </w:r>
      <w:r>
        <w:rPr>
          <w:rFonts w:cs="Helvetica" w:ascii="Cambria;serif" w:hAnsi="Cambria;serif"/>
          <w:color w:val="000000"/>
          <w:sz w:val="24"/>
        </w:rPr>
        <w:t xml:space="preserve"> and enter </w:t>
      </w:r>
      <w:r>
        <w:rPr>
          <w:rFonts w:cs="Helvetica" w:ascii="Courier New" w:hAnsi="Courier New"/>
          <w:color w:val="000000"/>
          <w:sz w:val="24"/>
        </w:rPr>
        <w:t>0x1230</w:t>
      </w:r>
      <w:r>
        <w:rPr>
          <w:rFonts w:cs="Helvetica" w:ascii="Cambria;serif" w:hAnsi="Cambria;serif"/>
          <w:color w:val="000000"/>
          <w:sz w:val="24"/>
        </w:rPr>
        <w:t>, to take you to near the middle of the encrypted file. You should end up with “</w:t>
      </w:r>
      <w:r>
        <w:rPr>
          <w:rFonts w:cs="Helvetica" w:ascii="Courier New" w:hAnsi="Courier New"/>
          <w:color w:val="000000"/>
          <w:sz w:val="24"/>
        </w:rPr>
        <w:t>0x1230</w:t>
      </w:r>
      <w:r>
        <w:rPr>
          <w:rFonts w:cs="Helvetica" w:ascii="Cambria;serif" w:hAnsi="Cambria;serif"/>
          <w:color w:val="000000"/>
          <w:sz w:val="24"/>
        </w:rPr>
        <w:t>” as the “Offset:” in the lower left of the GHex window, and the cursor highlighted on the first of two hex characters  reflecting the value stored at address as in the following figure.</w:t>
      </w:r>
    </w:p>
    <w:p>
      <w:pPr>
        <w:pStyle w:val="ListParagraph"/>
        <w:widowControl w:val="false"/>
        <w:numPr>
          <w:ilvl w:val="0"/>
          <w:numId w:val="0"/>
        </w:numPr>
        <w:ind w:left="2160" w:hanging="0"/>
        <w:rPr/>
      </w:pPr>
      <w:r>
        <w:rPr/>
        <w:drawing>
          <wp:anchor behindDoc="0" distT="0" distB="0" distL="0" distR="0" simplePos="0" locked="0" layoutInCell="1" allowOverlap="1" relativeHeight="6">
            <wp:simplePos x="0" y="0"/>
            <wp:positionH relativeFrom="column">
              <wp:posOffset>840105</wp:posOffset>
            </wp:positionH>
            <wp:positionV relativeFrom="paragraph">
              <wp:posOffset>34290</wp:posOffset>
            </wp:positionV>
            <wp:extent cx="4791075" cy="31146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4791075" cy="3114675"/>
                    </a:xfrm>
                    <a:prstGeom prst="rect">
                      <a:avLst/>
                    </a:prstGeom>
                  </pic:spPr>
                </pic:pic>
              </a:graphicData>
            </a:graphic>
          </wp:anchor>
        </w:drawing>
      </w:r>
    </w:p>
    <w:p>
      <w:pPr>
        <w:pStyle w:val="ListParagraph"/>
        <w:widowControl w:val="false"/>
        <w:numPr>
          <w:ilvl w:val="0"/>
          <w:numId w:val="0"/>
        </w:numPr>
        <w:ind w:left="2160" w:hanging="0"/>
        <w:rPr/>
      </w:pPr>
      <w:r>
        <w:rPr>
          <w:rFonts w:cs="Helvetica"/>
          <w:color w:val="000000"/>
        </w:rPr>
        <w:t xml:space="preserve"> </w:t>
      </w:r>
      <w:r>
        <w:rPr>
          <w:rFonts w:cs="Helvetica"/>
          <w:color w:val="000000"/>
        </w:rPr>
        <w:t xml:space="preserve">Note the addresses displayed on the left side may differ on your display, but the highlighted byte should correspond to address 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0"/>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ghex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93" w:type="dxa"/>
          <w:bottom w:w="0" w:type="dxa"/>
          <w:right w:w="108" w:type="dxa"/>
        </w:tblCellMar>
        <w:tblLook w:noVBand="1" w:val="04a0"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0"/>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0"/>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bookmarkStart w:id="0" w:name="__DdeLink__620_620047002"/>
      <w:bookmarkEnd w:id="0"/>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388" w:type="dxa"/>
        <w:tblCellMar>
          <w:top w:w="0" w:type="dxa"/>
          <w:left w:w="28" w:type="dxa"/>
          <w:bottom w:w="0" w:type="dxa"/>
          <w:right w:w="108" w:type="dxa"/>
        </w:tblCellMar>
        <w:tblLook w:noVBand="1" w:val="04a0" w:noHBand="0" w:lastColumn="0" w:firstColumn="1" w:lastRow="0" w:firstRow="1"/>
      </w:tblPr>
      <w:tblGrid>
        <w:gridCol w:w="1620"/>
        <w:gridCol w:w="1620"/>
      </w:tblGrid>
      <w:tr>
        <w:trPr/>
        <w:tc>
          <w:tcPr>
            <w:tcW w:w="1620" w:type="dxa"/>
            <w:tcBorders/>
            <w:shd w:fill="auto" w:val="cle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0</w:t>
            </w:r>
          </w:p>
        </w:tc>
        <w:tc>
          <w:tcPr>
            <w:tcW w:w="1620" w:type="dxa"/>
            <w:tcBorders/>
            <w:shd w:fill="auto" w:val="cle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1</w:t>
            </w:r>
          </w:p>
        </w:tc>
        <w:tc>
          <w:tcPr>
            <w:tcW w:w="1620" w:type="dxa"/>
            <w:tcBorders/>
            <w:shd w:fill="auto" w:val="cle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2</w:t>
            </w:r>
          </w:p>
        </w:tc>
        <w:tc>
          <w:tcPr>
            <w:tcW w:w="1620" w:type="dxa"/>
            <w:tcBorders/>
            <w:shd w:fill="auto" w:val="cle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3</w:t>
            </w:r>
          </w:p>
        </w:tc>
        <w:tc>
          <w:tcPr>
            <w:tcW w:w="1620" w:type="dxa"/>
            <w:tcBorders/>
            <w:shd w:fill="auto" w:val="cle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4</w:t>
            </w:r>
          </w:p>
        </w:tc>
        <w:tc>
          <w:tcPr>
            <w:tcW w:w="1620" w:type="dxa"/>
            <w:tcBorders/>
            <w:shd w:fill="auto" w:val="cle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5</w:t>
            </w:r>
          </w:p>
        </w:tc>
        <w:tc>
          <w:tcPr>
            <w:tcW w:w="1620" w:type="dxa"/>
            <w:tcBorders/>
            <w:shd w:fill="auto" w:val="cle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6</w:t>
            </w:r>
          </w:p>
        </w:tc>
        <w:tc>
          <w:tcPr>
            <w:tcW w:w="1620" w:type="dxa"/>
            <w:tcBorders/>
            <w:shd w:fill="auto" w:val="cle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7</w:t>
            </w:r>
          </w:p>
        </w:tc>
        <w:tc>
          <w:tcPr>
            <w:tcW w:w="1620" w:type="dxa"/>
            <w:tcBorders/>
            <w:shd w:fill="auto" w:val="cle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8</w:t>
            </w:r>
          </w:p>
        </w:tc>
        <w:tc>
          <w:tcPr>
            <w:tcW w:w="1620" w:type="dxa"/>
            <w:tcBorders/>
            <w:shd w:fill="auto" w:val="cle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9</w:t>
            </w:r>
          </w:p>
        </w:tc>
        <w:tc>
          <w:tcPr>
            <w:tcW w:w="1620" w:type="dxa"/>
            <w:tcBorders/>
            <w:shd w:fill="auto" w:val="cle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A</w:t>
            </w:r>
          </w:p>
        </w:tc>
        <w:tc>
          <w:tcPr>
            <w:tcW w:w="1620" w:type="dxa"/>
            <w:tcBorders/>
            <w:shd w:fill="auto" w:val="cle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B</w:t>
            </w:r>
          </w:p>
        </w:tc>
        <w:tc>
          <w:tcPr>
            <w:tcW w:w="1620" w:type="dxa"/>
            <w:tcBorders/>
            <w:shd w:fill="auto" w:val="cle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C</w:t>
            </w:r>
          </w:p>
        </w:tc>
        <w:tc>
          <w:tcPr>
            <w:tcW w:w="1620" w:type="dxa"/>
            <w:tcBorders/>
            <w:shd w:fill="auto" w:val="cle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D</w:t>
            </w:r>
          </w:p>
        </w:tc>
        <w:tc>
          <w:tcPr>
            <w:tcW w:w="1620" w:type="dxa"/>
            <w:tcBorders/>
            <w:shd w:fill="auto" w:val="cle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E</w:t>
            </w:r>
          </w:p>
        </w:tc>
        <w:tc>
          <w:tcPr>
            <w:tcW w:w="1620" w:type="dxa"/>
            <w:tcBorders/>
            <w:shd w:fill="auto" w:val="cle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F</w:t>
            </w:r>
          </w:p>
        </w:tc>
        <w:tc>
          <w:tcPr>
            <w:tcW w:w="1620" w:type="dxa"/>
            <w:tcBorders/>
            <w:shd w:fill="auto" w:val="cle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r>
        <w:br w:type="page"/>
      </w:r>
    </w:p>
    <w:p>
      <w:pPr>
        <w:pStyle w:val="Heading1"/>
        <w:rPr/>
      </w:pPr>
      <w:r>
        <w:rPr>
          <w:rFonts w:ascii="Cambria" w:hAnsi="Cambria" w:asciiTheme="minorHAnsi" w:hAnsiTheme="minorHAnsi"/>
        </w:rPr>
        <w:t xml:space="preserve">Appendix D – </w:t>
      </w:r>
      <w:r>
        <w:rPr/>
        <w:t>Pixels and the Bitmapped (BMP) File Format</w:t>
      </w:r>
    </w:p>
    <w:p>
      <w:pPr>
        <w:pStyle w:val="Normal"/>
        <w:spacing w:lineRule="atLeast" w:line="280" w:before="0" w:after="277"/>
        <w:rPr/>
      </w:pPr>
      <w:r>
        <w:rPr/>
        <w:t>A pixel (short for picture element) is a small addressable dot on a computer monitor that can be set to a requested color. One of the important properties of a monitor is its resolution, which is a measure of the dimensions of a monitor expressed in pixels. For example, a resolution of “1280 x 720” is describing a monitor with 1280 pixels across and 720 pixels down (for a total of 921,600 pixels). Other example resolutions are 2048 x 1152 and 4096 x 2160 (thus the name 4K TVs).</w:t>
      </w:r>
    </w:p>
    <w:p>
      <w:pPr>
        <w:pStyle w:val="Normal"/>
        <w:spacing w:lineRule="atLeast" w:line="280" w:before="0" w:after="277"/>
        <w:rPr/>
      </w:pPr>
      <w:r>
        <w:rPr/>
        <w:t>One approach for specifying the color that a pixel should have is the RGB Color Model, whic theorizes that any color in the rainbow can be expressed as a mixture of Red, Green and Blue. On a computer, this is generally expressed as an 8-bit (one byte) number representing the amount of each color, where 0 means nothing, and 255 means all the intensity the monitor can provide. With 256 possible values for red, green and blue, that means that over 16 million possible colors can be set for any given pixel. If all three bytes are zero, then the pixel will be black; if all three bytes are 255, then the pixel will be white.</w:t>
      </w:r>
    </w:p>
    <w:p>
      <w:pPr>
        <w:pStyle w:val="Normal"/>
        <w:spacing w:lineRule="atLeast" w:line="280" w:before="0" w:after="277"/>
        <w:rPr/>
      </w:pPr>
      <w:r>
        <w:rPr/>
        <w:t>The bitmapped (BMP) file format is one approach for saving an image. The BMP format specifies that the first 54 bytes of the file (known as a file header) contain descriptive information that informs software (e.g., Microsoft Paint) how the image should be displayed. For example, the dimensions of the image must be described because images can come in various widths and heights. Following the header, the remainder of the BMP file contains three bytes for every pixel in the image.</w:t>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Cambria">
    <w:altName w:val="serif"/>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fldChar w:fldCharType="begin"/>
    </w:r>
    <w:r>
      <w:rPr/>
      <w:instrText> PAGE </w:instrText>
    </w:r>
    <w:r>
      <w:rPr/>
      <w:fldChar w:fldCharType="separate"/>
    </w:r>
    <w:r>
      <w:rPr/>
      <w:t>4</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fldChar w:fldCharType="begin"/>
    </w:r>
    <w:r>
      <w:rPr/>
      <w:instrText> PAGE </w:instrText>
    </w:r>
    <w:r>
      <w:rPr/>
      <w:fldChar w:fldCharType="separate"/>
    </w:r>
    <w:r>
      <w:rPr/>
      <w:t>7</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fldChar w:fldCharType="begin"/>
    </w:r>
    <w:r>
      <w:rPr/>
      <w:instrText> PAGE </w:instrText>
    </w:r>
    <w:r>
      <w:rPr/>
      <w:fldChar w:fldCharType="separate"/>
    </w:r>
    <w:r>
      <w:rPr/>
      <w:t>9</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fldChar w:fldCharType="begin"/>
    </w:r>
    <w:r>
      <w:rPr/>
      <w:instrText> PAGE </w:instrText>
    </w:r>
    <w:r>
      <w:rPr/>
      <w:fldChar w:fldCharType="separate"/>
    </w:r>
    <w:r>
      <w:rPr/>
      <w:t>10</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12</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fldChar w:fldCharType="begin"/>
    </w:r>
    <w:r>
      <w:rPr/>
      <w:instrText> PAGE </w:instrText>
    </w:r>
    <w:r>
      <w:rPr/>
      <w:fldChar w:fldCharType="separate"/>
    </w:r>
    <w:r>
      <w:rPr/>
      <w:t>12</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paragraph" w:styleId="Heading1">
    <w:name w:val="Heading 1"/>
    <w:basedOn w:val="Normal"/>
    <w:next w:val="Normal"/>
    <w:link w:val="Heading1Char"/>
    <w:uiPriority w:val="9"/>
    <w:qFormat/>
    <w:rsid w:val="001569c4"/>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b/>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b/>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b/>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b/>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b/>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kern w:val="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1982</TotalTime>
  <Application>LibreOffice/6.0.7.3$Linux_X86_64 LibreOffice_project/00m0$Build-3</Application>
  <Pages>12</Pages>
  <Words>2958</Words>
  <Characters>13554</Characters>
  <CharactersWithSpaces>16326</CharactersWithSpaces>
  <Paragraphs>213</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2019-12-04T08:50:16Z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