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一般路径损耗模型路径损耗与距离的关系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张鹏辉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04016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632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04016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6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>班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>信息科学与工程学院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7361298"/>
      <w:bookmarkEnd w:id="0"/>
      <w:bookmarkStart w:id="1" w:name="_MON_1067360971"/>
      <w:bookmarkEnd w:id="1"/>
      <w:bookmarkStart w:id="2" w:name="_MON_1069343902"/>
      <w:bookmarkEnd w:id="2"/>
      <w:r>
        <w:rPr>
          <w:rFonts w:hint="eastAsia"/>
        </w:rPr>
        <w:t>一、实验目的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实验工具：MATLAB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R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2015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a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实验目的：了解一般路径损耗模型中路径损耗与距离的关系，熟练操作 MATLAB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软件。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二、实验要求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1、根据公式（1.3）及（1.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4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）给出的数学表达式编写程序，得到需要的关系曲线。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2、列出上机的调试程序。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3、进行实验结果的分析和讨论。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4、简述实验心得体会及其他。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三、实验内容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1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.实验原理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为实施诬陷通信系统的分析研究，在实践中经常采用一个简单的路径损耗模型如下：</w:t>
      </w:r>
    </w:p>
    <w:p>
      <w:pPr>
        <w:spacing w:line="480" w:lineRule="auto"/>
        <w:ind w:firstLine="48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      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-n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p>
        </m:sSup>
      </m:oMath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                  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（1.1）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其中：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d0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是参考距离；K是一个与天线增益和平均信道衰减相关的常数，常数K从参考距离 d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0 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处接触功率的经验平均获得；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是路径损耗指数。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简化的路径损耗模型以分贝为单位表示：</w:t>
      </w:r>
    </w:p>
    <w:p>
      <w:pPr>
        <w:spacing w:line="480" w:lineRule="auto"/>
        <w:ind w:firstLine="1680" w:firstLineChars="700"/>
        <w:rPr>
          <w:rFonts w:hint="eastAsia" w:cs="Times New Roman" w:asciiTheme="minorEastAsia" w:hAnsiTheme="minorEastAsia"/>
          <w:i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P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r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P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dBm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+K</m:t>
        </m:r>
        <m:d>
          <m:dPr>
            <m:begChr m:val="["/>
            <m:endChr m:val="]"/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微软雅黑" w:cs="微软雅黑"/>
            <w:color w:val="000000" w:themeColor="text1"/>
            <w:sz w:val="24"/>
            <w:szCs w:val="24"/>
          </w:rPr>
          <m:t>-</m:t>
        </m:r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  <m:func>
          <m:funcP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Times New Roman" w:hAnsiTheme="minorEastAsia"/>
                    <w:color w:val="000000" w:themeColor="text1"/>
                    <w:sz w:val="24"/>
                    <w:szCs w:val="24"/>
                  </w:rPr>
                  <m:t>log</m:t>
                </m: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cs="Times New Roman" w:hAnsiTheme="minorEastAsia"/>
                    <w:color w:val="000000" w:themeColor="text1"/>
                    <w:sz w:val="24"/>
                    <w:szCs w:val="24"/>
                  </w:rPr>
                  <m:t>10</m:t>
                </m: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Times New Roman" w:hAnsi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Theme="minorEastAsia"/>
                        <w:color w:val="000000" w:themeColor="text1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cs="Times New Roman" w:hAnsi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 w:hAnsiTheme="minorEastAsia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 w:hAnsiTheme="minorEastAsia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func>
      </m:oMath>
      <w:r>
        <w:rPr>
          <w:rFonts w:cs="Times New Roman" w:asciiTheme="minorEastAsia" w:hAnsiTheme="minorEastAsia"/>
          <w:color w:val="000000" w:themeColor="text1"/>
          <w:sz w:val="24"/>
          <w:szCs w:val="24"/>
        </w:rPr>
        <w:tab/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ab/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ab/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ab/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（1.2）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与前面提到的自由空间路径损耗一样，在所有其他的实际环境中，平均接收信号功率随距离</w:t>
      </w:r>
      <w:r>
        <w:rPr>
          <w:rFonts w:cs="Times New Roman" w:asciiTheme="majorHAnsi" w:hAnsiTheme="majorHAnsi"/>
          <w:i/>
          <w:color w:val="000000" w:themeColor="text1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呈对数方式减小。通过引入随着环境而改变的路径损耗指数</w:t>
      </w:r>
      <w:r>
        <w:rPr>
          <w:rFonts w:cs="Times New Roman" w:asciiTheme="majorHAnsi" w:hAnsiTheme="majorHAnsi"/>
          <w:i/>
          <w:color w:val="000000" w:themeColor="text1"/>
          <w:sz w:val="24"/>
          <w:szCs w:val="24"/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，可以修正自由空间路径损耗模型，从而构造出一个更为普遍的路径衰落模型。这就是所熟知的对数距离路径损耗模型：</w:t>
      </w:r>
    </w:p>
    <w:p>
      <w:pPr>
        <w:spacing w:line="480" w:lineRule="auto"/>
        <w:ind w:firstLine="480" w:firstLineChars="20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             </w:t>
      </w:r>
      <m:oMath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P</m:t>
        </m:r>
        <m:sSub>
          <m:sSubP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L</m:t>
            </m: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LD</m:t>
            </m: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cs="Times New Roman" w:hAnsiTheme="minorEastAsia"/>
            <w:color w:val="000000" w:themeColor="text1"/>
            <w:sz w:val="24"/>
            <w:szCs w:val="24"/>
          </w:rPr>
          <m:t>=</m:t>
        </m:r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K</m:t>
        </m:r>
        <m:d>
          <m:dPr>
            <m:begChr m:val="["/>
            <m:endChr m:val="]"/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cs="Times New Roman" w:hAnsiTheme="minorEastAsia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微软雅黑" w:cs="微软雅黑"/>
            <w:color w:val="000000" w:themeColor="text1"/>
            <w:sz w:val="24"/>
            <w:szCs w:val="24"/>
          </w:rPr>
          <m:t>-</m:t>
        </m:r>
        <m:r>
          <w:rPr>
            <w:rFonts w:ascii="Cambria Math" w:cs="Times New Roman" w:hAnsiTheme="minorEastAsia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  <m:func>
          <m:funcPr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Times New Roman" w:hAnsiTheme="minorEastAsia"/>
                    <w:color w:val="000000" w:themeColor="text1"/>
                    <w:sz w:val="24"/>
                    <w:szCs w:val="24"/>
                  </w:rPr>
                  <m:t>log</m:t>
                </m: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cs="Times New Roman" w:hAnsiTheme="minorEastAsia"/>
                    <w:color w:val="000000" w:themeColor="text1"/>
                    <w:sz w:val="24"/>
                    <w:szCs w:val="24"/>
                  </w:rPr>
                  <m:t>10</m:t>
                </m: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cs="Times New Roman" w:hAnsiTheme="minorEastAsia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cs="Times New Roman" w:hAnsi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Times New Roman" w:hAnsi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Theme="minorEastAsia"/>
                        <w:color w:val="000000" w:themeColor="text1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cs="Times New Roman" w:hAnsi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 w:hAnsiTheme="minorEastAsia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 w:hAnsiTheme="minorEastAsia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cs="Times New Roman" w:hAnsi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func>
      </m:oMath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       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其中，d0是一个参考距离。在参考距离或者接近参考距离的位置，路径损耗具有式（1.2）中自由空间损耗的特点。如表1.1所示，路径损耗指数主要由传播环境决定，其变化范围为2~6，其中n=2对应用自由空间的情况。此外，当障碍物很多时，n会增大。对于不同的传播环境必须确定合适的参考距离d0。例如，在大覆盖范围的蜂窝系统（即半径大于10km的蜂窝系统）中，通常会设置d0为1km。然而，对于小区半径为1km的宏峰窝系统或者具有极小半径的微蜂窝系统，可以分别设置参考距离为100m或1m[2]。</w:t>
      </w:r>
    </w:p>
    <w:p>
      <w:pPr>
        <w:spacing w:line="480" w:lineRule="auto"/>
        <w:ind w:firstLine="300" w:firstLineChars="200"/>
        <w:jc w:val="center"/>
        <w:rPr>
          <w:rFonts w:cs="Times New Roman" w:asciiTheme="majorHAnsi" w:hAnsiTheme="majorHAnsi"/>
          <w:color w:val="000000" w:themeColor="text1"/>
          <w:sz w:val="15"/>
          <w:szCs w:val="15"/>
        </w:rPr>
      </w:pPr>
      <w:r>
        <w:rPr>
          <w:rFonts w:cs="Times New Roman" w:asciiTheme="majorHAnsi" w:hAnsiTheme="majorHAnsi"/>
          <w:color w:val="000000" w:themeColor="text1"/>
          <w:sz w:val="15"/>
          <w:szCs w:val="15"/>
        </w:rPr>
        <w:t>表1.1 路径损耗指数[3]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路径损耗指数（n）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eastAsia="宋体" w:cs="Times New Roman" w:asciiTheme="majorHAnsi" w:hAnsiTheme="majorHAnsi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ind w:firstLine="480" w:firstLineChars="200"/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cs="Times New Roman" w:asciiTheme="majorHAnsi" w:hAnsiTheme="majorHAnsi" w:eastAsiaTheme="minor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ub>
        </m:sSub>
      </m:oMath>
      <w:r>
        <w:rPr>
          <w:rFonts w:cs="Times New Roman" w:asciiTheme="majorHAnsi" w:hAnsiTheme="majorHAnsi"/>
          <w:color w:val="000000" w:themeColor="text1"/>
          <w:sz w:val="24"/>
          <w:szCs w:val="24"/>
        </w:rPr>
        <w:t>表示均值为0，标准差为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</m:oMath>
      <w:r>
        <w:rPr>
          <w:rFonts w:cs="Times New Roman" w:asciiTheme="majorHAnsi" w:hAnsiTheme="majorHAnsi"/>
          <w:color w:val="000000" w:themeColor="text1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720" w:firstLineChars="30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PL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PL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ba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dB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-10n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b>
        </m:sSub>
      </m:oMath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     （1.4）</w:t>
      </w:r>
    </w:p>
    <w:p>
      <w:pPr>
        <w:spacing w:line="480" w:lineRule="auto"/>
        <w:ind w:firstLine="480" w:firstLineChars="20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ub>
        </m:sSub>
      </m:oMath>
      <w:r>
        <w:rPr>
          <w:rFonts w:cs="Times New Roman" w:asciiTheme="majorHAnsi" w:hAnsiTheme="majorHAnsi"/>
          <w:color w:val="000000" w:themeColor="text1"/>
          <w:sz w:val="24"/>
          <w:szCs w:val="24"/>
        </w:rPr>
        <w:t>而变化。</w:t>
      </w:r>
    </w:p>
    <w:p>
      <w:pPr>
        <w:spacing w:line="480" w:lineRule="auto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2.实验程序</w:t>
      </w:r>
    </w:p>
    <w:p>
      <w:pPr>
        <w:spacing w:line="480" w:lineRule="auto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MATLAB调试程序：</w:t>
      </w:r>
    </w:p>
    <w:p>
      <w:pPr>
        <w:spacing w:line="480" w:lineRule="auto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程序1.1 “plot_PL_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general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.m”,绘制不同的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一般路径损耗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K=2000;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y_logdist(k,:)=PL_logdist_or_norm_general(K,distance,d0,Exp(k));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y_lognorm(k,:)=PL_logdist_or_norm_general(K,distance,d0,Exp(1),sigma);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,axis([0 1000 0 200])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'General Log-distance Path-loss Model,K = 2000'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,axis([0 1000 0 200])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'General Log-normal Path-loss Model,K = 2000'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spacing w:line="480" w:lineRule="auto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程序1.2  “PL_logdist_or_norm_twoways”，对数距离/正态阴影路径损耗模型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PL=PL_logdist_or_norm2(K,d,d0,n,sigma)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%对数距离或对数阴影衰落路径损耗的两径模型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%输入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K：一个与天线增益和平均信道衰减相关的常数，从参考距离 d0 处接触功率的经验平均获得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d：发射机和接收机之间的距离[m]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d0：参考距离[m]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n：路径损耗指数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sigma：方差[dB]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    PL：路径损耗[dB]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PL=10*log10(K)-10*n*log10(d/d0);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%式(1.3)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%式(1.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4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15"/>
          <w:szCs w:val="15"/>
        </w:rPr>
      </w:pPr>
      <w:r>
        <w:rPr>
          <w:rFonts w:hint="eastAsia" w:cs="Times New Roman" w:asciiTheme="minorEastAsia" w:hAnsiTheme="minorEastAsia"/>
          <w:color w:val="000000" w:themeColor="text1"/>
          <w:sz w:val="15"/>
          <w:szCs w:val="15"/>
        </w:rPr>
        <w:t>图</w:t>
      </w:r>
      <w:r>
        <w:rPr>
          <w:rFonts w:cs="Times New Roman" w:asciiTheme="minorEastAsia" w:hAnsiTheme="minorEastAsia"/>
          <w:color w:val="000000" w:themeColor="text1"/>
          <w:sz w:val="15"/>
          <w:szCs w:val="15"/>
        </w:rPr>
        <w:t xml:space="preserve"> 1  </w:t>
      </w:r>
      <w:r>
        <w:rPr>
          <w:rFonts w:hint="eastAsia" w:cs="Times New Roman" w:asciiTheme="minorEastAsia" w:hAnsiTheme="minorEastAsia"/>
          <w:color w:val="000000" w:themeColor="text1"/>
          <w:sz w:val="15"/>
          <w:szCs w:val="15"/>
        </w:rPr>
        <w:t>对数距离一般路径损耗模型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15"/>
          <w:szCs w:val="15"/>
        </w:rPr>
      </w:pPr>
      <w:r>
        <w:rPr>
          <w:rFonts w:hint="eastAsia" w:cs="Times New Roman" w:asciiTheme="minorEastAsia" w:hAnsiTheme="minorEastAsia"/>
          <w:color w:val="000000" w:themeColor="text1"/>
          <w:sz w:val="15"/>
          <w:szCs w:val="15"/>
        </w:rPr>
        <w:t xml:space="preserve">图 </w:t>
      </w:r>
      <w:r>
        <w:rPr>
          <w:rFonts w:cs="Times New Roman" w:asciiTheme="minorEastAsia" w:hAnsiTheme="minorEastAsia"/>
          <w:color w:val="000000" w:themeColor="text1"/>
          <w:sz w:val="15"/>
          <w:szCs w:val="15"/>
        </w:rPr>
        <w:t xml:space="preserve">2  </w:t>
      </w:r>
      <w:r>
        <w:rPr>
          <w:rFonts w:hint="eastAsia" w:cs="Times New Roman" w:asciiTheme="minorEastAsia" w:hAnsiTheme="minorEastAsia"/>
          <w:color w:val="000000" w:themeColor="text1"/>
          <w:sz w:val="15"/>
          <w:szCs w:val="15"/>
        </w:rPr>
        <w:t>对数正态阴影一般路径损耗模型</w:t>
      </w: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   图1所示为式（1.4）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K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=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2000的对数距离路径损耗。从图中可以清楚地看到，路径损耗随着路径损耗指数n的增大而增大。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图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  <w:lang w:val="en-US" w:eastAsia="zh-CN"/>
        </w:rPr>
        <w:t>2</w:t>
      </w:r>
      <w:bookmarkStart w:id="3" w:name="_GoBack"/>
      <w:bookmarkEnd w:id="3"/>
      <w:r>
        <w:rPr>
          <w:rFonts w:cs="Times New Roman" w:asciiTheme="majorHAnsi" w:hAnsiTheme="majorHAnsi"/>
          <w:color w:val="000000" w:themeColor="text1"/>
          <w:sz w:val="24"/>
          <w:szCs w:val="24"/>
        </w:rPr>
        <w:t>所示为服从对数正态阴影模型的路径损耗，其中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K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=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 xml:space="preserve"> 2000，</w:t>
      </w:r>
      <w:r>
        <w:rPr>
          <w:rFonts w:asciiTheme="majorHAnsi" w:hAnsiTheme="majorHAnsi"/>
          <w:position w:val="-6"/>
        </w:rPr>
        <w:object>
          <v:shape id="_x0000_i1025" o:spt="75" type="#_x0000_t75" style="height:11.2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=3dB</w:t>
      </w:r>
      <w:r>
        <w:rPr>
          <w:rFonts w:asciiTheme="majorHAnsi" w:hAnsiTheme="majorHAnsi"/>
        </w:rPr>
        <w:t>，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n=2。从图中可以清楚地看到，在确定性地对数路径损耗模型上叠加了阴影产生地随机效应。</w:t>
      </w:r>
    </w:p>
    <w:p>
      <w:pPr>
        <w:spacing w:line="480" w:lineRule="auto"/>
        <w:ind w:firstLine="480"/>
        <w:rPr>
          <w:rFonts w:cs="Times New Roman" w:asciiTheme="majorHAnsi" w:hAnsiTheme="majorHAnsi"/>
          <w:color w:val="000000" w:themeColor="text1"/>
          <w:sz w:val="24"/>
          <w:szCs w:val="24"/>
        </w:rPr>
      </w:pPr>
      <w:r>
        <w:rPr>
          <w:rFonts w:cs="Times New Roman" w:asciiTheme="majorHAnsi" w:hAnsiTheme="majorHAnsi"/>
          <w:color w:val="000000" w:themeColor="text1"/>
          <w:sz w:val="24"/>
          <w:szCs w:val="24"/>
        </w:rPr>
        <w:t>此次实验，加深了对于一般路径损耗模型与距离变化关系的理解，能够独立运用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M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ATLAB语言实现其对于</w:t>
      </w:r>
      <w:r>
        <w:rPr>
          <w:rFonts w:hint="eastAsia" w:cs="Times New Roman" w:asciiTheme="majorHAnsi" w:hAnsiTheme="majorHAnsi"/>
          <w:color w:val="000000" w:themeColor="text1"/>
          <w:sz w:val="24"/>
          <w:szCs w:val="24"/>
        </w:rPr>
        <w:t>一般路径损耗模型</w:t>
      </w:r>
      <w:r>
        <w:rPr>
          <w:rFonts w:cs="Times New Roman" w:asciiTheme="majorHAnsi" w:hAnsiTheme="majorHAnsi"/>
          <w:color w:val="000000" w:themeColor="text1"/>
          <w:sz w:val="24"/>
          <w:szCs w:val="24"/>
        </w:rPr>
        <w:t>的路径损耗与距离的仿真，实验难度不大，但是对于自身意义不小。</w:t>
      </w:r>
    </w:p>
    <w:p>
      <w:pPr>
        <w:spacing w:line="480" w:lineRule="auto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9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E2"/>
    <w:rsid w:val="000012BB"/>
    <w:rsid w:val="000125FF"/>
    <w:rsid w:val="00021754"/>
    <w:rsid w:val="0002299F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B794A"/>
    <w:rsid w:val="002D6A58"/>
    <w:rsid w:val="002E2D4E"/>
    <w:rsid w:val="002F29D8"/>
    <w:rsid w:val="003303BE"/>
    <w:rsid w:val="00334E7D"/>
    <w:rsid w:val="003844DB"/>
    <w:rsid w:val="0039736F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5F3AE1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66C1D"/>
    <w:rsid w:val="00872E85"/>
    <w:rsid w:val="00877387"/>
    <w:rsid w:val="00887992"/>
    <w:rsid w:val="008E280D"/>
    <w:rsid w:val="00904B87"/>
    <w:rsid w:val="009736CA"/>
    <w:rsid w:val="00976614"/>
    <w:rsid w:val="009B0728"/>
    <w:rsid w:val="009C3D71"/>
    <w:rsid w:val="009D1259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229E1"/>
    <w:rsid w:val="00B35FC2"/>
    <w:rsid w:val="00B83134"/>
    <w:rsid w:val="00BA397D"/>
    <w:rsid w:val="00BC6F99"/>
    <w:rsid w:val="00BD3D8A"/>
    <w:rsid w:val="00C00BE9"/>
    <w:rsid w:val="00C63ACB"/>
    <w:rsid w:val="00C74F44"/>
    <w:rsid w:val="00C863E2"/>
    <w:rsid w:val="00CC7ABB"/>
    <w:rsid w:val="00D67F90"/>
    <w:rsid w:val="00D94DF3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63D34EAE"/>
    <w:rsid w:val="6F0064ED"/>
    <w:rsid w:val="75B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EF1F-A8B7-4E71-B986-ABA2ABF285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501</Words>
  <Characters>2857</Characters>
  <Lines>23</Lines>
  <Paragraphs>6</Paragraphs>
  <TotalTime>1025</TotalTime>
  <ScaleCrop>false</ScaleCrop>
  <LinksUpToDate>false</LinksUpToDate>
  <CharactersWithSpaces>3352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忘了。</cp:lastModifiedBy>
  <cp:lastPrinted>2018-05-24T15:47:00Z</cp:lastPrinted>
  <dcterms:modified xsi:type="dcterms:W3CDTF">2018-10-31T16:03:11Z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