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Documentation and System Manual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Choices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Marshalling and Unmarshalling data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pertaining to arguments is marshalled by converting it to a char array format and then sending that over.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rpcCall(...), rpcRegister(...) marshalls arguments by converting them into a string format:  ie. “LOC_REQUEST;add;int*,int;”.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rpcCall(...) marshalls arguments by copying over their bytes into a char array and then sending that over to the server.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Unmarshalling data involves reading an integer, n, denoting # of bytes, and then reading n bytes into a char array. Given the context, that char array can be appropriately casted to an array of another type.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of Binder Database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ra5bte5zabau" w:id="0"/>
      <w:bookmarkEnd w:id="0"/>
      <w:r w:rsidDel="00000000" w:rsidR="00000000" w:rsidRPr="00000000">
        <w:rPr>
          <w:sz w:val="24"/>
          <w:szCs w:val="24"/>
          <w:rtl w:val="0"/>
        </w:rPr>
        <w:t xml:space="preserve">Dictionary of form Map&lt; String, Set &lt; Pair &lt;String, String &gt;&gt; &gt;.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z9klsmrvl2eu" w:id="1"/>
      <w:bookmarkEnd w:id="1"/>
      <w:r w:rsidDel="00000000" w:rsidR="00000000" w:rsidRPr="00000000">
        <w:rPr>
          <w:sz w:val="24"/>
          <w:szCs w:val="24"/>
          <w:rtl w:val="0"/>
        </w:rPr>
        <w:t xml:space="preserve">Key is the concatenation of function name and arg types, ie “add;int,int*;”.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7xha8gazq2gl" w:id="2"/>
      <w:bookmarkEnd w:id="2"/>
      <w:r w:rsidDel="00000000" w:rsidR="00000000" w:rsidRPr="00000000">
        <w:rPr>
          <w:sz w:val="24"/>
          <w:szCs w:val="24"/>
          <w:rtl w:val="0"/>
        </w:rPr>
        <w:t xml:space="preserve">Value is a set of pairs, in which each pair is of form &lt;server id, port number&gt;.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1fbyyzj1bi71" w:id="3"/>
      <w:bookmarkEnd w:id="3"/>
      <w:r w:rsidDel="00000000" w:rsidR="00000000" w:rsidRPr="00000000">
        <w:rPr>
          <w:sz w:val="24"/>
          <w:szCs w:val="24"/>
          <w:rtl w:val="0"/>
        </w:rPr>
        <w:t xml:space="preserve">When a server sends a register request to the binder, it sends the key, server id, and port number, and the binder creates/appends the entry in the Binder Database.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vh972xovs118" w:id="4"/>
      <w:bookmarkEnd w:id="4"/>
      <w:r w:rsidDel="00000000" w:rsidR="00000000" w:rsidRPr="00000000">
        <w:rPr>
          <w:sz w:val="24"/>
          <w:szCs w:val="24"/>
          <w:rtl w:val="0"/>
        </w:rPr>
        <w:t xml:space="preserve">When a client sends a location request to the binder, it sends the key, and the binder, if possible, returns a pair found in the corresponding set.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of Function Overloading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key for the Binder Database dictionary is a concatenation of a function name and its arg types, ie “add;int,int*;”, the handling of function overloading occurs naturally.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round-robin scheduling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servers are stored in a list of form List&lt; Pair &lt;String, Int &gt; &gt;.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is a concatenation of server id and port number.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 is the corresponding server’s socket file descriptor.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implement round-robin scheduling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in the active servers list in order for the first Pair&lt;String, Int&gt; that can service the given function. Retrieve that Pair.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Parse the String and return the relevant server info to the client.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the Pair&lt;String, Int&gt; from its current position in the list, and place it at the very end. Now, another server providing the same service can be selected next by step 1.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Termination Procedure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servers are stored in a list of form List&lt; Pair &lt;String, Int &gt; &gt;.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is a concatenation of server id and port number.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 is the corresponding server’s socket file descriptor.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client sends a termination request to the binder, the binder sends a termination request to all servers stored in the active servers list. Once each active server has acknowledged the termination request by returning a message to the binder, the binder terminates.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the server only terminates if the termination request originates from the binder, binder authentication is assured.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Codes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rpcInit()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-1 if client connection cannot be established.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 if binder connection cannot be established.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rpcRegister(...)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 if given function has already been registered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if rpcInit() has not been called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 if binder is not located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 if binder error - protocol not followed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rpcExecute(...)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-1 if rpcRegister(...) has not yet been called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-2 if select(...) failed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-3 if server cannot connect to client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rpcCall(...)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-1 if client request does not adhere to protocol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-2 if binder connection cannot be established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-3 if given function is registered but no server available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-4 if server connection cannot be established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-5 if given function is not registered, therefore unavailable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-6 if given function’s execution failed server-side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rpcTerminate()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 if binder and servers already terminated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if binder connection not established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Functionationality that has not been implemented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rpcCacheCall(...) has not been implemented.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Functionality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