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b/>
          <w:color w:val="1E40AF"/>
          <w:sz w:val="22"/>
        </w:rPr>
        <w:t>IBM Q2D PEARL GLOBAL TALENT DISCOVERY &amp; DEVELOPMENT PROGRAM</w:t>
        <w:br/>
        <w:t>IN COLLABORATION WITH IBM ICE</w:t>
      </w:r>
    </w:p>
    <w:p>
      <w:pPr>
        <w:spacing w:before="360" w:after="240"/>
      </w:pPr>
      <w:r>
        <w:rPr>
          <w:b/>
          <w:color w:val="0F2557"/>
          <w:sz w:val="44"/>
        </w:rPr>
        <w:t>PROJECT 25: HR TALENT RETENTION &amp; EMPLOYEE EXIT ANALYTICS</w:t>
      </w:r>
    </w:p>
    <w:p>
      <w:pPr>
        <w:spacing w:before="0" w:after="720"/>
      </w:pPr>
      <w:r>
        <w:rPr>
          <w:color w:val="475569"/>
          <w:sz w:val="24"/>
        </w:rPr>
        <w:t>A Comprehensive CRISP-DM Data Science Investigation: Empirical Attrition Baseline Discovery, Machine Learning Predictive Modeling, Explainable AI Risk Diagnostics, and Financial ROI Optimization.</w:t>
      </w:r>
    </w:p>
    <w:tbl>
      <w:tblPr>
        <w:tblW w:type="auto" w:w="0"/>
        <w:jc w:val="center"/>
        <w:tblLayout w:type="fixed"/>
        <w:tblLook w:firstColumn="1" w:firstRow="1" w:lastColumn="0" w:lastRow="0" w:noHBand="0" w:noVBand="1" w:val="04A0"/>
      </w:tblPr>
      <w:tblGrid>
        <w:gridCol w:w="4680"/>
        <w:gridCol w:w="4680"/>
      </w:tblGrid>
      <w:tr>
        <w:tc>
          <w:tcPr>
            <w:tcW w:type="dxa" w:w="3312"/>
            <w:shd w:fill="F1F5F9"/>
            <w:tcMar>
              <w:top w:w="80" w:type="dxa"/>
              <w:bottom w:w="80" w:type="dxa"/>
              <w:left w:w="120" w:type="dxa"/>
              <w:right w:w="120" w:type="dxa"/>
            </w:tcMar>
          </w:tcPr>
          <w:p>
            <w:pPr>
              <w:spacing w:after="0"/>
            </w:pPr>
            <w:r>
              <w:rPr>
                <w:b/>
                <w:color w:val="0F2557"/>
                <w:sz w:val="19"/>
              </w:rPr>
              <w:t>Candidate Identifier</w:t>
            </w:r>
          </w:p>
        </w:tc>
        <w:tc>
          <w:tcPr>
            <w:tcW w:type="dxa" w:w="6048"/>
            <w:shd w:fill="FFFFFF"/>
            <w:tcMar>
              <w:top w:w="80" w:type="dxa"/>
              <w:bottom w:w="80" w:type="dxa"/>
              <w:left w:w="120" w:type="dxa"/>
              <w:right w:w="120" w:type="dxa"/>
            </w:tcMar>
          </w:tcPr>
          <w:p>
            <w:pPr>
              <w:spacing w:after="0"/>
            </w:pPr>
            <w:r>
              <w:rPr>
                <w:color w:val="1E293B"/>
                <w:sz w:val="19"/>
              </w:rPr>
              <w:t>IBMQ2DST1210</w:t>
            </w:r>
          </w:p>
        </w:tc>
      </w:tr>
      <w:tr>
        <w:tc>
          <w:tcPr>
            <w:tcW w:type="dxa" w:w="3312"/>
            <w:shd w:fill="F1F5F9"/>
            <w:tcMar>
              <w:top w:w="80" w:type="dxa"/>
              <w:bottom w:w="80" w:type="dxa"/>
              <w:left w:w="120" w:type="dxa"/>
              <w:right w:w="120" w:type="dxa"/>
            </w:tcMar>
          </w:tcPr>
          <w:p>
            <w:pPr>
              <w:spacing w:after="0"/>
            </w:pPr>
            <w:r>
              <w:rPr>
                <w:b/>
                <w:color w:val="0F2557"/>
                <w:sz w:val="19"/>
              </w:rPr>
              <w:t>Track &amp; Specialization</w:t>
            </w:r>
          </w:p>
        </w:tc>
        <w:tc>
          <w:tcPr>
            <w:tcW w:type="dxa" w:w="6048"/>
            <w:shd w:fill="FFFFFF"/>
            <w:tcMar>
              <w:top w:w="80" w:type="dxa"/>
              <w:bottom w:w="80" w:type="dxa"/>
              <w:left w:w="120" w:type="dxa"/>
              <w:right w:w="120" w:type="dxa"/>
            </w:tcMar>
          </w:tcPr>
          <w:p>
            <w:pPr>
              <w:spacing w:after="0"/>
            </w:pPr>
            <w:r>
              <w:rPr>
                <w:color w:val="1E293B"/>
                <w:sz w:val="19"/>
              </w:rPr>
              <w:t>UG Level 3 (Data Science &amp; Business Intelligence)</w:t>
            </w:r>
          </w:p>
        </w:tc>
      </w:tr>
      <w:tr>
        <w:tc>
          <w:tcPr>
            <w:tcW w:type="dxa" w:w="3312"/>
            <w:shd w:fill="F1F5F9"/>
            <w:tcMar>
              <w:top w:w="80" w:type="dxa"/>
              <w:bottom w:w="80" w:type="dxa"/>
              <w:left w:w="120" w:type="dxa"/>
              <w:right w:w="120" w:type="dxa"/>
            </w:tcMar>
          </w:tcPr>
          <w:p>
            <w:pPr>
              <w:spacing w:after="0"/>
            </w:pPr>
            <w:r>
              <w:rPr>
                <w:b/>
                <w:color w:val="0F2557"/>
                <w:sz w:val="19"/>
              </w:rPr>
              <w:t>Project Identification</w:t>
            </w:r>
          </w:p>
        </w:tc>
        <w:tc>
          <w:tcPr>
            <w:tcW w:type="dxa" w:w="6048"/>
            <w:shd w:fill="FFFFFF"/>
            <w:tcMar>
              <w:top w:w="80" w:type="dxa"/>
              <w:bottom w:w="80" w:type="dxa"/>
              <w:left w:w="120" w:type="dxa"/>
              <w:right w:w="120" w:type="dxa"/>
            </w:tcMar>
          </w:tcPr>
          <w:p>
            <w:pPr>
              <w:spacing w:after="0"/>
            </w:pPr>
            <w:r>
              <w:rPr>
                <w:color w:val="1E293B"/>
                <w:sz w:val="19"/>
              </w:rPr>
              <w:t>Project 25 — HR Talent Retention &amp; Employee Exit Analytics</w:t>
            </w:r>
          </w:p>
        </w:tc>
      </w:tr>
      <w:tr>
        <w:tc>
          <w:tcPr>
            <w:tcW w:type="dxa" w:w="3312"/>
            <w:shd w:fill="F1F5F9"/>
            <w:tcMar>
              <w:top w:w="80" w:type="dxa"/>
              <w:bottom w:w="80" w:type="dxa"/>
              <w:left w:w="120" w:type="dxa"/>
              <w:right w:w="120" w:type="dxa"/>
            </w:tcMar>
          </w:tcPr>
          <w:p>
            <w:pPr>
              <w:spacing w:after="0"/>
            </w:pPr>
            <w:r>
              <w:rPr>
                <w:b/>
                <w:color w:val="0F2557"/>
                <w:sz w:val="19"/>
              </w:rPr>
              <w:t>Evaluation Context</w:t>
            </w:r>
          </w:p>
        </w:tc>
        <w:tc>
          <w:tcPr>
            <w:tcW w:type="dxa" w:w="6048"/>
            <w:shd w:fill="FFFFFF"/>
            <w:tcMar>
              <w:top w:w="80" w:type="dxa"/>
              <w:bottom w:w="80" w:type="dxa"/>
              <w:left w:w="120" w:type="dxa"/>
              <w:right w:w="120" w:type="dxa"/>
            </w:tcMar>
          </w:tcPr>
          <w:p>
            <w:pPr>
              <w:spacing w:after="0"/>
            </w:pPr>
            <w:r>
              <w:rPr>
                <w:color w:val="1E293B"/>
                <w:sz w:val="19"/>
              </w:rPr>
              <w:t>Round 1 (Faculty Review) &amp; Round 2 (IBM Delegates Pitch)</w:t>
            </w:r>
          </w:p>
        </w:tc>
      </w:tr>
      <w:tr>
        <w:tc>
          <w:tcPr>
            <w:tcW w:type="dxa" w:w="3312"/>
            <w:shd w:fill="F1F5F9"/>
            <w:tcMar>
              <w:top w:w="80" w:type="dxa"/>
              <w:bottom w:w="80" w:type="dxa"/>
              <w:left w:w="120" w:type="dxa"/>
              <w:right w:w="120" w:type="dxa"/>
            </w:tcMar>
          </w:tcPr>
          <w:p>
            <w:pPr>
              <w:spacing w:after="0"/>
            </w:pPr>
            <w:r>
              <w:rPr>
                <w:b/>
                <w:color w:val="0F2557"/>
                <w:sz w:val="19"/>
              </w:rPr>
              <w:t>Benchmark Dataset</w:t>
            </w:r>
          </w:p>
        </w:tc>
        <w:tc>
          <w:tcPr>
            <w:tcW w:type="dxa" w:w="6048"/>
            <w:shd w:fill="FFFFFF"/>
            <w:tcMar>
              <w:top w:w="80" w:type="dxa"/>
              <w:bottom w:w="80" w:type="dxa"/>
              <w:left w:w="120" w:type="dxa"/>
              <w:right w:w="120" w:type="dxa"/>
            </w:tcMar>
          </w:tcPr>
          <w:p>
            <w:pPr>
              <w:spacing w:after="0"/>
            </w:pPr>
            <w:r>
              <w:rPr>
                <w:color w:val="1E293B"/>
                <w:sz w:val="19"/>
              </w:rPr>
              <w:t>IBM HR Analytics Employee Attrition Dataset (1,470 Records, 35 Attributes)</w:t>
            </w:r>
          </w:p>
        </w:tc>
      </w:tr>
      <w:tr>
        <w:tc>
          <w:tcPr>
            <w:tcW w:type="dxa" w:w="3312"/>
            <w:shd w:fill="F1F5F9"/>
            <w:tcMar>
              <w:top w:w="80" w:type="dxa"/>
              <w:bottom w:w="80" w:type="dxa"/>
              <w:left w:w="120" w:type="dxa"/>
              <w:right w:w="120" w:type="dxa"/>
            </w:tcMar>
          </w:tcPr>
          <w:p>
            <w:pPr>
              <w:spacing w:after="0"/>
            </w:pPr>
            <w:r>
              <w:rPr>
                <w:b/>
                <w:color w:val="0F2557"/>
                <w:sz w:val="19"/>
              </w:rPr>
              <w:t>Methodological Standard</w:t>
            </w:r>
          </w:p>
        </w:tc>
        <w:tc>
          <w:tcPr>
            <w:tcW w:type="dxa" w:w="6048"/>
            <w:shd w:fill="FFFFFF"/>
            <w:tcMar>
              <w:top w:w="80" w:type="dxa"/>
              <w:bottom w:w="80" w:type="dxa"/>
              <w:left w:w="120" w:type="dxa"/>
              <w:right w:w="120" w:type="dxa"/>
            </w:tcMar>
          </w:tcPr>
          <w:p>
            <w:pPr>
              <w:spacing w:after="0"/>
            </w:pPr>
            <w:r>
              <w:rPr>
                <w:color w:val="1E293B"/>
                <w:sz w:val="19"/>
              </w:rPr>
              <w:t>CRISP-DM (Cross-Industry Standard Process for Data Mining)</w:t>
            </w:r>
          </w:p>
        </w:tc>
      </w:tr>
    </w:tbl>
    <w:p>
      <w:r>
        <w:br w:type="page"/>
      </w:r>
    </w:p>
    <w:p>
      <w:pPr>
        <w:pStyle w:val="Heading1"/>
        <w:keepNext/>
        <w:spacing w:before="280" w:after="120"/>
      </w:pPr>
      <w:r>
        <w:rPr>
          <w:b/>
          <w:color w:val="0F2557"/>
          <w:sz w:val="32"/>
        </w:rPr>
        <w:t>Document Table of Contents</w:t>
      </w:r>
    </w:p>
    <w:tbl>
      <w:tblPr>
        <w:tblW w:type="auto" w:w="0"/>
        <w:jc w:val="center"/>
        <w:tblLook w:firstColumn="1" w:firstRow="1" w:lastColumn="0" w:lastRow="0" w:noHBand="0" w:noVBand="1" w:val="04A0"/>
      </w:tblPr>
      <w:tblGrid>
        <w:gridCol w:w="4680"/>
        <w:gridCol w:w="4680"/>
      </w:tblGrid>
      <w:tr>
        <w:tc>
          <w:tcPr>
            <w:tcW w:type="dxa" w:w="7488"/>
            <w:tcMar>
              <w:top w:w="50" w:type="dxa"/>
              <w:bottom w:w="50" w:type="dxa"/>
              <w:left w:w="60" w:type="dxa"/>
              <w:right w:w="60" w:type="dxa"/>
            </w:tcMar>
          </w:tcPr>
          <w:p>
            <w:pPr>
              <w:spacing w:after="0"/>
            </w:pPr>
            <w:r>
              <w:rPr>
                <w:color w:val="1E293B"/>
                <w:sz w:val="20"/>
              </w:rPr>
              <w:t>1.0 Executive Summary &amp; Project Context</w:t>
            </w:r>
          </w:p>
        </w:tc>
        <w:tc>
          <w:tcPr>
            <w:tcW w:type="dxa" w:w="1872"/>
            <w:tcMar>
              <w:top w:w="50" w:type="dxa"/>
              <w:bottom w:w="50" w:type="dxa"/>
              <w:left w:w="60" w:type="dxa"/>
              <w:right w:w="60" w:type="dxa"/>
            </w:tcMar>
          </w:tcPr>
          <w:p>
            <w:pPr>
              <w:spacing w:after="0"/>
              <w:jc w:val="right"/>
            </w:pPr>
            <w:r>
              <w:rPr>
                <w:b/>
                <w:color w:val="475569"/>
                <w:sz w:val="20"/>
              </w:rPr>
              <w:t>Page 2</w:t>
            </w:r>
          </w:p>
        </w:tc>
      </w:tr>
      <w:tr>
        <w:tc>
          <w:tcPr>
            <w:tcW w:type="dxa" w:w="7488"/>
            <w:tcMar>
              <w:top w:w="50" w:type="dxa"/>
              <w:bottom w:w="50" w:type="dxa"/>
              <w:left w:w="60" w:type="dxa"/>
              <w:right w:w="60" w:type="dxa"/>
            </w:tcMar>
          </w:tcPr>
          <w:p>
            <w:pPr>
              <w:spacing w:after="0"/>
            </w:pPr>
            <w:r>
              <w:rPr>
                <w:color w:val="1E293B"/>
                <w:sz w:val="20"/>
              </w:rPr>
              <w:t>2.0 CRISP-DM Phase 1: Business Understanding &amp; Economic Problem Formulation</w:t>
            </w:r>
          </w:p>
        </w:tc>
        <w:tc>
          <w:tcPr>
            <w:tcW w:type="dxa" w:w="1872"/>
            <w:tcMar>
              <w:top w:w="50" w:type="dxa"/>
              <w:bottom w:w="50" w:type="dxa"/>
              <w:left w:w="60" w:type="dxa"/>
              <w:right w:w="60" w:type="dxa"/>
            </w:tcMar>
          </w:tcPr>
          <w:p>
            <w:pPr>
              <w:spacing w:after="0"/>
              <w:jc w:val="right"/>
            </w:pPr>
            <w:r>
              <w:rPr>
                <w:b/>
                <w:color w:val="475569"/>
                <w:sz w:val="20"/>
              </w:rPr>
              <w:t>Page 3</w:t>
            </w:r>
          </w:p>
        </w:tc>
      </w:tr>
      <w:tr>
        <w:tc>
          <w:tcPr>
            <w:tcW w:type="dxa" w:w="7488"/>
            <w:tcMar>
              <w:top w:w="50" w:type="dxa"/>
              <w:bottom w:w="50" w:type="dxa"/>
              <w:left w:w="60" w:type="dxa"/>
              <w:right w:w="60" w:type="dxa"/>
            </w:tcMar>
          </w:tcPr>
          <w:p>
            <w:pPr>
              <w:spacing w:after="0"/>
            </w:pPr>
            <w:r>
              <w:rPr>
                <w:color w:val="1E293B"/>
                <w:sz w:val="20"/>
              </w:rPr>
              <w:t>3.0 CRISP-DM Phase 2: Data Understanding &amp; Exploratory Data Analysis (EDA)</w:t>
            </w:r>
          </w:p>
        </w:tc>
        <w:tc>
          <w:tcPr>
            <w:tcW w:type="dxa" w:w="1872"/>
            <w:tcMar>
              <w:top w:w="50" w:type="dxa"/>
              <w:bottom w:w="50" w:type="dxa"/>
              <w:left w:w="60" w:type="dxa"/>
              <w:right w:w="60" w:type="dxa"/>
            </w:tcMar>
          </w:tcPr>
          <w:p>
            <w:pPr>
              <w:spacing w:after="0"/>
              <w:jc w:val="right"/>
            </w:pPr>
            <w:r>
              <w:rPr>
                <w:b/>
                <w:color w:val="475569"/>
                <w:sz w:val="20"/>
              </w:rPr>
              <w:t>Page 4</w:t>
            </w:r>
          </w:p>
        </w:tc>
      </w:tr>
      <w:tr>
        <w:tc>
          <w:tcPr>
            <w:tcW w:type="dxa" w:w="7488"/>
            <w:tcMar>
              <w:top w:w="50" w:type="dxa"/>
              <w:bottom w:w="50" w:type="dxa"/>
              <w:left w:w="60" w:type="dxa"/>
              <w:right w:w="60" w:type="dxa"/>
            </w:tcMar>
          </w:tcPr>
          <w:p>
            <w:pPr>
              <w:spacing w:after="0"/>
            </w:pPr>
            <w:r>
              <w:rPr>
                <w:color w:val="1E293B"/>
                <w:sz w:val="20"/>
              </w:rPr>
              <w:t>4.0 Empirical Discoveries: The Three Critical Attrition Triggers</w:t>
            </w:r>
          </w:p>
        </w:tc>
        <w:tc>
          <w:tcPr>
            <w:tcW w:type="dxa" w:w="1872"/>
            <w:tcMar>
              <w:top w:w="50" w:type="dxa"/>
              <w:bottom w:w="50" w:type="dxa"/>
              <w:left w:w="60" w:type="dxa"/>
              <w:right w:w="60" w:type="dxa"/>
            </w:tcMar>
          </w:tcPr>
          <w:p>
            <w:pPr>
              <w:spacing w:after="0"/>
              <w:jc w:val="right"/>
            </w:pPr>
            <w:r>
              <w:rPr>
                <w:b/>
                <w:color w:val="475569"/>
                <w:sz w:val="20"/>
              </w:rPr>
              <w:t>Page 5</w:t>
            </w:r>
          </w:p>
        </w:tc>
      </w:tr>
      <w:tr>
        <w:tc>
          <w:tcPr>
            <w:tcW w:type="dxa" w:w="7488"/>
            <w:tcMar>
              <w:top w:w="50" w:type="dxa"/>
              <w:bottom w:w="50" w:type="dxa"/>
              <w:left w:w="60" w:type="dxa"/>
              <w:right w:w="60" w:type="dxa"/>
            </w:tcMar>
          </w:tcPr>
          <w:p>
            <w:pPr>
              <w:spacing w:after="0"/>
            </w:pPr>
            <w:r>
              <w:rPr>
                <w:color w:val="1E293B"/>
                <w:sz w:val="20"/>
              </w:rPr>
              <w:t>5.0 CRISP-DM Phase 3: Data Preprocessing &amp; Feature Engineering Pipeline</w:t>
            </w:r>
          </w:p>
        </w:tc>
        <w:tc>
          <w:tcPr>
            <w:tcW w:type="dxa" w:w="1872"/>
            <w:tcMar>
              <w:top w:w="50" w:type="dxa"/>
              <w:bottom w:w="50" w:type="dxa"/>
              <w:left w:w="60" w:type="dxa"/>
              <w:right w:w="60" w:type="dxa"/>
            </w:tcMar>
          </w:tcPr>
          <w:p>
            <w:pPr>
              <w:spacing w:after="0"/>
              <w:jc w:val="right"/>
            </w:pPr>
            <w:r>
              <w:rPr>
                <w:b/>
                <w:color w:val="475569"/>
                <w:sz w:val="20"/>
              </w:rPr>
              <w:t>Page 6</w:t>
            </w:r>
          </w:p>
        </w:tc>
      </w:tr>
      <w:tr>
        <w:tc>
          <w:tcPr>
            <w:tcW w:type="dxa" w:w="7488"/>
            <w:tcMar>
              <w:top w:w="50" w:type="dxa"/>
              <w:bottom w:w="50" w:type="dxa"/>
              <w:left w:w="60" w:type="dxa"/>
              <w:right w:w="60" w:type="dxa"/>
            </w:tcMar>
          </w:tcPr>
          <w:p>
            <w:pPr>
              <w:spacing w:after="0"/>
            </w:pPr>
            <w:r>
              <w:rPr>
                <w:color w:val="1E293B"/>
                <w:sz w:val="20"/>
              </w:rPr>
              <w:t>6.0 CRISP-DM Phase 4: Machine Learning Model Architecture &amp; Algorithms</w:t>
            </w:r>
          </w:p>
        </w:tc>
        <w:tc>
          <w:tcPr>
            <w:tcW w:type="dxa" w:w="1872"/>
            <w:tcMar>
              <w:top w:w="50" w:type="dxa"/>
              <w:bottom w:w="50" w:type="dxa"/>
              <w:left w:w="60" w:type="dxa"/>
              <w:right w:w="60" w:type="dxa"/>
            </w:tcMar>
          </w:tcPr>
          <w:p>
            <w:pPr>
              <w:spacing w:after="0"/>
              <w:jc w:val="right"/>
            </w:pPr>
            <w:r>
              <w:rPr>
                <w:b/>
                <w:color w:val="475569"/>
                <w:sz w:val="20"/>
              </w:rPr>
              <w:t>Page 7</w:t>
            </w:r>
          </w:p>
        </w:tc>
      </w:tr>
      <w:tr>
        <w:tc>
          <w:tcPr>
            <w:tcW w:type="dxa" w:w="7488"/>
            <w:tcMar>
              <w:top w:w="50" w:type="dxa"/>
              <w:bottom w:w="50" w:type="dxa"/>
              <w:left w:w="60" w:type="dxa"/>
              <w:right w:w="60" w:type="dxa"/>
            </w:tcMar>
          </w:tcPr>
          <w:p>
            <w:pPr>
              <w:spacing w:after="0"/>
            </w:pPr>
            <w:r>
              <w:rPr>
                <w:color w:val="1E293B"/>
                <w:sz w:val="20"/>
              </w:rPr>
              <w:t>7.0 CRISP-DM Phase 5: Model Evaluation, Validation &amp; Explainable AI (XAI)</w:t>
            </w:r>
          </w:p>
        </w:tc>
        <w:tc>
          <w:tcPr>
            <w:tcW w:type="dxa" w:w="1872"/>
            <w:tcMar>
              <w:top w:w="50" w:type="dxa"/>
              <w:bottom w:w="50" w:type="dxa"/>
              <w:left w:w="60" w:type="dxa"/>
              <w:right w:w="60" w:type="dxa"/>
            </w:tcMar>
          </w:tcPr>
          <w:p>
            <w:pPr>
              <w:spacing w:after="0"/>
              <w:jc w:val="right"/>
            </w:pPr>
            <w:r>
              <w:rPr>
                <w:b/>
                <w:color w:val="475569"/>
                <w:sz w:val="20"/>
              </w:rPr>
              <w:t>Page 8</w:t>
            </w:r>
          </w:p>
        </w:tc>
      </w:tr>
      <w:tr>
        <w:tc>
          <w:tcPr>
            <w:tcW w:type="dxa" w:w="7488"/>
            <w:tcMar>
              <w:top w:w="50" w:type="dxa"/>
              <w:bottom w:w="50" w:type="dxa"/>
              <w:left w:w="60" w:type="dxa"/>
              <w:right w:w="60" w:type="dxa"/>
            </w:tcMar>
          </w:tcPr>
          <w:p>
            <w:pPr>
              <w:spacing w:after="0"/>
            </w:pPr>
            <w:r>
              <w:rPr>
                <w:color w:val="1E293B"/>
                <w:sz w:val="20"/>
              </w:rPr>
              <w:t>8.0 CRISP-DM Phase 6: Financial ROI Modeling &amp; Prescriptive Retention Interventions</w:t>
            </w:r>
          </w:p>
        </w:tc>
        <w:tc>
          <w:tcPr>
            <w:tcW w:type="dxa" w:w="1872"/>
            <w:tcMar>
              <w:top w:w="50" w:type="dxa"/>
              <w:bottom w:w="50" w:type="dxa"/>
              <w:left w:w="60" w:type="dxa"/>
              <w:right w:w="60" w:type="dxa"/>
            </w:tcMar>
          </w:tcPr>
          <w:p>
            <w:pPr>
              <w:spacing w:after="0"/>
              <w:jc w:val="right"/>
            </w:pPr>
            <w:r>
              <w:rPr>
                <w:b/>
                <w:color w:val="475569"/>
                <w:sz w:val="20"/>
              </w:rPr>
              <w:t>Page 9</w:t>
            </w:r>
          </w:p>
        </w:tc>
      </w:tr>
      <w:tr>
        <w:tc>
          <w:tcPr>
            <w:tcW w:type="dxa" w:w="7488"/>
            <w:tcMar>
              <w:top w:w="50" w:type="dxa"/>
              <w:bottom w:w="50" w:type="dxa"/>
              <w:left w:w="60" w:type="dxa"/>
              <w:right w:w="60" w:type="dxa"/>
            </w:tcMar>
          </w:tcPr>
          <w:p>
            <w:pPr>
              <w:spacing w:after="0"/>
            </w:pPr>
            <w:r>
              <w:rPr>
                <w:color w:val="1E293B"/>
                <w:sz w:val="20"/>
              </w:rPr>
              <w:t>9.0 Operational Deployment: Executive Decision Support System</w:t>
            </w:r>
          </w:p>
        </w:tc>
        <w:tc>
          <w:tcPr>
            <w:tcW w:type="dxa" w:w="1872"/>
            <w:tcMar>
              <w:top w:w="50" w:type="dxa"/>
              <w:bottom w:w="50" w:type="dxa"/>
              <w:left w:w="60" w:type="dxa"/>
              <w:right w:w="60" w:type="dxa"/>
            </w:tcMar>
          </w:tcPr>
          <w:p>
            <w:pPr>
              <w:spacing w:after="0"/>
              <w:jc w:val="right"/>
            </w:pPr>
            <w:r>
              <w:rPr>
                <w:b/>
                <w:color w:val="475569"/>
                <w:sz w:val="20"/>
              </w:rPr>
              <w:t>Page 10</w:t>
            </w:r>
          </w:p>
        </w:tc>
      </w:tr>
      <w:tr>
        <w:tc>
          <w:tcPr>
            <w:tcW w:type="dxa" w:w="7488"/>
            <w:tcMar>
              <w:top w:w="50" w:type="dxa"/>
              <w:bottom w:w="50" w:type="dxa"/>
              <w:left w:w="60" w:type="dxa"/>
              <w:right w:w="60" w:type="dxa"/>
            </w:tcMar>
          </w:tcPr>
          <w:p>
            <w:pPr>
              <w:spacing w:after="0"/>
            </w:pPr>
            <w:r>
              <w:rPr>
                <w:color w:val="1E293B"/>
                <w:sz w:val="20"/>
              </w:rPr>
              <w:t>10.0 Strategic Recommendations, Risk Governance &amp; Conclusion</w:t>
            </w:r>
          </w:p>
        </w:tc>
        <w:tc>
          <w:tcPr>
            <w:tcW w:type="dxa" w:w="1872"/>
            <w:tcMar>
              <w:top w:w="50" w:type="dxa"/>
              <w:bottom w:w="50" w:type="dxa"/>
              <w:left w:w="60" w:type="dxa"/>
              <w:right w:w="60" w:type="dxa"/>
            </w:tcMar>
          </w:tcPr>
          <w:p>
            <w:pPr>
              <w:spacing w:after="0"/>
              <w:jc w:val="right"/>
            </w:pPr>
            <w:r>
              <w:rPr>
                <w:b/>
                <w:color w:val="475569"/>
                <w:sz w:val="20"/>
              </w:rPr>
              <w:t>Page 11</w:t>
            </w:r>
          </w:p>
        </w:tc>
      </w:tr>
      <w:tr>
        <w:tc>
          <w:tcPr>
            <w:tcW w:type="dxa" w:w="7488"/>
            <w:tcMar>
              <w:top w:w="50" w:type="dxa"/>
              <w:bottom w:w="50" w:type="dxa"/>
              <w:left w:w="60" w:type="dxa"/>
              <w:right w:w="60" w:type="dxa"/>
            </w:tcMar>
          </w:tcPr>
          <w:p>
            <w:pPr>
              <w:spacing w:after="0"/>
            </w:pPr>
            <w:r>
              <w:rPr>
                <w:color w:val="1E293B"/>
                <w:sz w:val="20"/>
              </w:rPr>
              <w:t>11.0 Appendix: Full Schema Dictionary &amp; Mathematical Formulations</w:t>
            </w:r>
          </w:p>
        </w:tc>
        <w:tc>
          <w:tcPr>
            <w:tcW w:type="dxa" w:w="1872"/>
            <w:tcMar>
              <w:top w:w="50" w:type="dxa"/>
              <w:bottom w:w="50" w:type="dxa"/>
              <w:left w:w="60" w:type="dxa"/>
              <w:right w:w="60" w:type="dxa"/>
            </w:tcMar>
          </w:tcPr>
          <w:p>
            <w:pPr>
              <w:spacing w:after="0"/>
              <w:jc w:val="right"/>
            </w:pPr>
            <w:r>
              <w:rPr>
                <w:b/>
                <w:color w:val="475569"/>
                <w:sz w:val="20"/>
              </w:rPr>
              <w:t>Page 12</w:t>
            </w:r>
          </w:p>
        </w:tc>
      </w:tr>
    </w:tbl>
    <w:p>
      <w:pPr>
        <w:pStyle w:val="Heading1"/>
        <w:keepNext/>
        <w:spacing w:before="280" w:after="120"/>
      </w:pPr>
      <w:r>
        <w:rPr>
          <w:b/>
          <w:color w:val="0F2557"/>
          <w:sz w:val="32"/>
        </w:rPr>
        <w:t>1.0 Executive Summary</w:t>
      </w:r>
    </w:p>
    <w:p>
      <w:pPr>
        <w:spacing w:before="0" w:after="120" w:line="276" w:lineRule="auto"/>
      </w:pPr>
      <w:r>
        <w:rPr>
          <w:rFonts w:ascii="Calibri" w:hAnsi="Calibri"/>
          <w:color w:val="1E293B"/>
          <w:sz w:val="21"/>
        </w:rPr>
        <w:t>Voluntary employee turnover represents one of the most critical operational and financial vulnerabilities in modern enterprise management. The departure of specialized knowledge workers inflicts severe organizational damage, including the loss of institutional memory, prolonged disruption to core delivery schedules, team demoralization, and substantial recruitment, onboarding, and ramp-up replacement costs. Established human resource economic benchmarks quantify the cost of replacing an employee at approximately 1.5 times their annual base salary ($117,468 per departure based on an enterprise average salary of $6,526/month). In an enterprise workforce of 1,470 personnel experiencing 237 annual departures (16.12% baseline attrition rate), this turnover represents an annualized financial drain of $27.84 Million.</w:t>
      </w:r>
    </w:p>
    <w:p>
      <w:pPr>
        <w:spacing w:before="0" w:after="120" w:line="276" w:lineRule="auto"/>
      </w:pPr>
      <w:r>
        <w:rPr>
          <w:rFonts w:ascii="Calibri" w:hAnsi="Calibri"/>
          <w:color w:val="1E293B"/>
          <w:sz w:val="21"/>
        </w:rPr>
        <w:t>Historically, enterprise human capital management has operated reactively, relying primarily on post-resignation exit interviews. By the time an exit interview is conducted, the departure decision is irreversible, leaving leadership powerless to protect critical talent assets. This data science project resolves this systemic enterprise failure by transitioning HR operations to a proactive, predictive machine learning decision framework developed under the rigorous 6-phase CRISP-DM methodology.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E40AF"/>
              <w:bottom w:val="none"/>
              <w:right w:val="none"/>
            </w:tcBorders>
          </w:tcPr>
          <w:p>
            <w:pPr>
              <w:spacing w:after="60"/>
            </w:pPr>
            <w:r>
              <w:rPr>
                <w:b/>
                <w:color w:val="0F2557"/>
                <w:sz w:val="21"/>
              </w:rPr>
              <w:t>Key Analytical &amp; Business Findings</w:t>
              <w:br/>
            </w:r>
            <w:r>
              <w:rPr>
                <w:color w:val="334155"/>
                <w:sz w:val="20"/>
              </w:rPr>
              <w:t>• Baseline Population Metrics: 1,470 records, 237 voluntary exits (16.12% attrition), $6,526 mean monthly income, 7.0 years mean tenure.</w:t>
              <w:br/>
              <w:t>• Primary Empirical Triggers: Mandatory Overtime (30.53% vs 10.44% — 3x risk multiplier), Job Satisfaction Gradient (Level 1 Low 22.84% to Level 4 11.33% — 50% risk drop), and Demographic Mobility (Single 25.53% vs Married 11.70%).</w:t>
              <w:br/>
              <w:t>• Champion Predictive Model: Random Forest Classifier achieving 88.6% Accuracy, 81.2% Precision, 62.5% Recall, 0.706 F1-Score, and 0.865 ROC-AUC Score.</w:t>
              <w:br/>
              <w:t>• Value Creation &amp; Financial ROI: A 20% reduction in annual voluntary turnover retains 47 skilled employees per year, generating $5.52 Million in gross annual savings ($5.04M net savings, 11.5x ROI multiplier).</w:t>
            </w:r>
          </w:p>
        </w:tc>
      </w:tr>
    </w:tbl>
    <w:p>
      <w:pPr>
        <w:spacing w:before="0" w:after="120"/>
      </w:pPr>
    </w:p>
    <w:p>
      <w:r>
        <w:br w:type="page"/>
      </w:r>
    </w:p>
    <w:p>
      <w:pPr>
        <w:pStyle w:val="Heading1"/>
        <w:keepNext/>
        <w:spacing w:before="280" w:after="120"/>
      </w:pPr>
      <w:r>
        <w:rPr>
          <w:b/>
          <w:color w:val="0F2557"/>
          <w:sz w:val="32"/>
        </w:rPr>
        <w:t>2.0 CRISP-DM Phase 1: Business Understanding &amp; Economic Problem Formulation</w:t>
      </w:r>
    </w:p>
    <w:p>
      <w:pPr>
        <w:spacing w:before="0" w:after="120" w:line="276" w:lineRule="auto"/>
      </w:pPr>
      <w:r>
        <w:rPr>
          <w:rFonts w:ascii="Calibri" w:hAnsi="Calibri"/>
          <w:color w:val="1E293B"/>
          <w:sz w:val="21"/>
        </w:rPr>
        <w:t>The first phase of the CRISP-DM methodology focuses on understanding the enterprise objectives, framing the core business problem from an economic perspective, establishing statistical criteria for machine learning success, and formalizing the mathematical cost-of-turnover model.</w:t>
      </w:r>
    </w:p>
    <w:p>
      <w:pPr>
        <w:pStyle w:val="Heading2"/>
        <w:keepNext/>
        <w:spacing w:before="280" w:after="120"/>
      </w:pPr>
      <w:r>
        <w:rPr>
          <w:b/>
          <w:color w:val="1E40AF"/>
          <w:sz w:val="26"/>
        </w:rPr>
        <w:t>2.1 The Economic Impact of Unplanned Voluntary Departures</w:t>
      </w:r>
    </w:p>
    <w:p>
      <w:pPr>
        <w:spacing w:before="0" w:after="120" w:line="276" w:lineRule="auto"/>
      </w:pPr>
      <w:r>
        <w:rPr>
          <w:rFonts w:ascii="Calibri" w:hAnsi="Calibri"/>
          <w:color w:val="1E293B"/>
          <w:sz w:val="21"/>
        </w:rPr>
        <w:t>Unplanned voluntary departures create a cascading negative financial multiplier across three distinct cost categories:</w:t>
        <w:br/>
        <w:t>1. Direct Separation &amp; Acquisition Costs: Severance administration, recruitment advertising, executive headhunter agency fees (typically 20-30% of first-year salary), HR interviewing hours, and background vetting.</w:t>
        <w:br/>
        <w:t>2. Training &amp; Productivity Ramp-up Costs: Structured onboarding programs, mentorship time diverted from senior contributors, and the 6-to-9 month productivity curve required for a replacement to reach baseline operational velocity.</w:t>
        <w:br/>
        <w:t>3. Vacancy &amp; Opportunity Costs: Revenue lost from delayed project milestones, unfulfilled client deliverables, overtime fatigue imposed on remaining team members, and secondary resignation contagions.</w:t>
      </w:r>
    </w:p>
    <w:p>
      <w:pPr>
        <w:pStyle w:val="Heading2"/>
        <w:keepNext/>
        <w:spacing w:before="280" w:after="120"/>
      </w:pPr>
      <w:r>
        <w:rPr>
          <w:b/>
          <w:color w:val="1E40AF"/>
          <w:sz w:val="26"/>
        </w:rPr>
        <w:t>2.2 Mathematical Model of Attrition Replacement Cost</w:t>
      </w:r>
    </w:p>
    <w:p>
      <w:pPr>
        <w:spacing w:before="0" w:after="120" w:line="276" w:lineRule="auto"/>
      </w:pPr>
      <w:r>
        <w:rPr>
          <w:rFonts w:ascii="Calibri" w:hAnsi="Calibri"/>
          <w:color w:val="1E293B"/>
          <w:sz w:val="21"/>
        </w:rPr>
        <w:t>To rigorously quantify enterprise exposure, the replacement cost per departure (C_departure) is modeled as a function of annual base salary and a specialized knowledge-worker replacement multiplier (M_cost = 1.5):</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E40AF"/>
              <w:bottom w:val="none"/>
              <w:right w:val="none"/>
            </w:tcBorders>
          </w:tcPr>
          <w:p>
            <w:pPr>
              <w:spacing w:after="60"/>
            </w:pPr>
            <w:r>
              <w:rPr>
                <w:b/>
                <w:color w:val="0F2557"/>
                <w:sz w:val="21"/>
              </w:rPr>
              <w:t>Mathematical Formulation: Cost of Departure &amp; Total Annual Loss</w:t>
              <w:br/>
            </w:r>
            <w:r>
              <w:rPr>
                <w:color w:val="334155"/>
                <w:sz w:val="20"/>
              </w:rPr>
              <w:t>Cost per Departure (C_departure) = M_cost × (μ_monthly_salary × 12)</w:t>
              <w:br/>
              <w:t>C_departure = 1.5 × ($6,526.43 × 12) = $117,468.00 per employee</w:t>
              <w:br/>
              <w:br/>
              <w:t>Annual Organizational Baseline Loss (L_baseline) = n_exits × C_departure</w:t>
              <w:br/>
              <w:t>L_baseline = 237 departures × $117,468.00 = $27,839,916.00 ($27.84 Million / year)</w:t>
            </w:r>
          </w:p>
        </w:tc>
      </w:tr>
    </w:tbl>
    <w:p>
      <w:pPr>
        <w:spacing w:before="0" w:after="120"/>
      </w:pPr>
    </w:p>
    <w:p>
      <w:pPr>
        <w:pStyle w:val="Heading2"/>
        <w:keepNext/>
        <w:spacing w:before="280" w:after="120"/>
      </w:pPr>
      <w:r>
        <w:rPr>
          <w:b/>
          <w:color w:val="1E40AF"/>
          <w:sz w:val="26"/>
        </w:rPr>
        <w:t>2.3 Research Hypotheses &amp; Success Criteria</w:t>
      </w:r>
    </w:p>
    <w:p>
      <w:pPr>
        <w:spacing w:before="0" w:after="120" w:line="276" w:lineRule="auto"/>
      </w:pPr>
      <w:r>
        <w:rPr>
          <w:rFonts w:ascii="Calibri" w:hAnsi="Calibri"/>
          <w:color w:val="1E293B"/>
          <w:sz w:val="21"/>
        </w:rPr>
        <w:t>This data science project formulates and evaluates four foundational hypotheses:</w:t>
        <w:br/>
        <w:t>• Hypothesis 1 (Overtime Burnout): Employees subjected to regular mandatory overtime exhibit a statistically significant higher attrition rate than employees working standard hours (Odds Ratio &gt; 2.5, p &lt; 0.001).</w:t>
        <w:br/>
        <w:t>• Hypothesis 2 (Compensation Parity): Below-median monthly compensation correlates strongly with voluntary flight risk in early-career professional cohorts.</w:t>
        <w:br/>
        <w:t>• Hypothesis 3 (Morale Gradient): Perceived Job Satisfaction and Environment Satisfaction act as powerful leading indicators that inversely predict departure timelines.</w:t>
        <w:br/>
        <w:t>• Hypothesis 4 (Predictive Retention): An ensembled non-linear classification algorithm can reliably identify impending leavers with sufficient precision (&gt;80%) to justify targeted retention intervention budgets.</w:t>
      </w:r>
    </w:p>
    <w:p>
      <w:r>
        <w:br w:type="page"/>
      </w:r>
    </w:p>
    <w:p>
      <w:pPr>
        <w:pStyle w:val="Heading1"/>
        <w:keepNext/>
        <w:spacing w:before="280" w:after="120"/>
      </w:pPr>
      <w:r>
        <w:rPr>
          <w:b/>
          <w:color w:val="0F2557"/>
          <w:sz w:val="32"/>
        </w:rPr>
        <w:t>3.0 CRISP-DM Phase 2: Data Understanding &amp; Exploratory Data Analysis (EDA)</w:t>
      </w:r>
    </w:p>
    <w:p>
      <w:pPr>
        <w:spacing w:before="0" w:after="120" w:line="276" w:lineRule="auto"/>
      </w:pPr>
      <w:r>
        <w:rPr>
          <w:rFonts w:ascii="Calibri" w:hAnsi="Calibri"/>
          <w:color w:val="1E293B"/>
          <w:sz w:val="21"/>
        </w:rPr>
        <w:t>The Data Understanding phase involves statistical profiling, schema verification, data distribution audits, and bivariate cross-tabulation across the official benchmark IBM HR Analytics Dataset comprising 1,470 records and 35 attributes.</w:t>
      </w:r>
    </w:p>
    <w:p>
      <w:pPr>
        <w:pStyle w:val="Heading2"/>
        <w:keepNext/>
        <w:spacing w:before="280" w:after="120"/>
      </w:pPr>
      <w:r>
        <w:rPr>
          <w:b/>
          <w:color w:val="1E40AF"/>
          <w:sz w:val="26"/>
        </w:rPr>
        <w:t>3.1 Dataset Architecture &amp; Schema Categorization</w:t>
      </w:r>
    </w:p>
    <w:p>
      <w:pPr>
        <w:spacing w:before="0" w:after="120" w:line="276" w:lineRule="auto"/>
      </w:pPr>
      <w:r>
        <w:rPr>
          <w:rFonts w:ascii="Calibri" w:hAnsi="Calibri"/>
          <w:color w:val="1E293B"/>
          <w:sz w:val="21"/>
        </w:rPr>
        <w:t>The 35 attributes of the IBM HR dataset are classified into four distinct operational domains, ensuring comprehensive coverage of the employee lifecycle: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2557"/>
            <w:tcMar>
              <w:top w:w="120" w:type="dxa"/>
              <w:bottom w:w="120" w:type="dxa"/>
              <w:left w:w="140" w:type="dxa"/>
              <w:right w:w="140" w:type="dxa"/>
            </w:tcMar>
          </w:tcPr>
          <w:p>
            <w:pPr>
              <w:spacing w:after="0"/>
              <w:jc w:val="left"/>
            </w:pPr>
            <w:r>
              <w:rPr>
                <w:b/>
                <w:color w:val="FFFFFF"/>
                <w:sz w:val="20"/>
              </w:rPr>
              <w:t>Feature Domain</w:t>
            </w:r>
          </w:p>
        </w:tc>
        <w:tc>
          <w:tcPr>
            <w:tcW w:type="dxa" w:w="3120"/>
            <w:shd w:fill="0F2557"/>
            <w:tcMar>
              <w:top w:w="120" w:type="dxa"/>
              <w:bottom w:w="120" w:type="dxa"/>
              <w:left w:w="140" w:type="dxa"/>
              <w:right w:w="140" w:type="dxa"/>
            </w:tcMar>
          </w:tcPr>
          <w:p>
            <w:pPr>
              <w:spacing w:after="0"/>
              <w:jc w:val="left"/>
            </w:pPr>
            <w:r>
              <w:rPr>
                <w:b/>
                <w:color w:val="FFFFFF"/>
                <w:sz w:val="20"/>
              </w:rPr>
              <w:t>Attributes Included</w:t>
            </w:r>
          </w:p>
        </w:tc>
        <w:tc>
          <w:tcPr>
            <w:tcW w:type="dxa" w:w="3120"/>
            <w:shd w:fill="0F2557"/>
            <w:tcMar>
              <w:top w:w="120" w:type="dxa"/>
              <w:bottom w:w="120" w:type="dxa"/>
              <w:left w:w="140" w:type="dxa"/>
              <w:right w:w="140" w:type="dxa"/>
            </w:tcMar>
          </w:tcPr>
          <w:p>
            <w:pPr>
              <w:spacing w:after="0"/>
              <w:jc w:val="left"/>
            </w:pPr>
            <w:r>
              <w:rPr>
                <w:b/>
                <w:color w:val="FFFFFF"/>
                <w:sz w:val="20"/>
              </w:rPr>
              <w:t>Measurement Scale</w:t>
            </w:r>
          </w:p>
        </w:tc>
      </w:tr>
      <w:tr>
        <w:tc>
          <w:tcPr>
            <w:tcW w:type="dxa" w:w="2592"/>
            <w:shd w:fill="FFFFFF"/>
            <w:tcMar>
              <w:top w:w="100" w:type="dxa"/>
              <w:bottom w:w="100" w:type="dxa"/>
              <w:left w:w="140" w:type="dxa"/>
              <w:right w:w="140" w:type="dxa"/>
            </w:tcMar>
          </w:tcPr>
          <w:p>
            <w:pPr>
              <w:spacing w:after="0"/>
              <w:jc w:val="left"/>
            </w:pPr>
            <w:r>
              <w:rPr>
                <w:color w:val="1E293B"/>
                <w:sz w:val="19"/>
              </w:rPr>
              <w:t>Demographic &amp; Personal</w:t>
            </w:r>
          </w:p>
        </w:tc>
        <w:tc>
          <w:tcPr>
            <w:tcW w:type="dxa" w:w="4896"/>
            <w:shd w:fill="FFFFFF"/>
            <w:tcMar>
              <w:top w:w="100" w:type="dxa"/>
              <w:bottom w:w="100" w:type="dxa"/>
              <w:left w:w="140" w:type="dxa"/>
              <w:right w:w="140" w:type="dxa"/>
            </w:tcMar>
          </w:tcPr>
          <w:p>
            <w:pPr>
              <w:spacing w:after="0"/>
              <w:jc w:val="left"/>
            </w:pPr>
            <w:r>
              <w:rPr>
                <w:color w:val="1E293B"/>
                <w:sz w:val="19"/>
              </w:rPr>
              <w:t>Age, Gender, MaritalStatus, Education, EducationField, DistanceFromHome</w:t>
            </w:r>
          </w:p>
        </w:tc>
        <w:tc>
          <w:tcPr>
            <w:tcW w:type="dxa" w:w="1872"/>
            <w:shd w:fill="FFFFFF"/>
            <w:tcMar>
              <w:top w:w="100" w:type="dxa"/>
              <w:bottom w:w="100" w:type="dxa"/>
              <w:left w:w="140" w:type="dxa"/>
              <w:right w:w="140" w:type="dxa"/>
            </w:tcMar>
          </w:tcPr>
          <w:p>
            <w:pPr>
              <w:spacing w:after="0"/>
              <w:jc w:val="left"/>
            </w:pPr>
            <w:r>
              <w:rPr>
                <w:color w:val="1E293B"/>
                <w:sz w:val="19"/>
              </w:rPr>
              <w:t>Continuous, Discrete &amp; Categorical</w:t>
            </w:r>
          </w:p>
        </w:tc>
      </w:tr>
      <w:tr>
        <w:tc>
          <w:tcPr>
            <w:tcW w:type="dxa" w:w="2592"/>
            <w:shd w:fill="F8FAFC"/>
            <w:tcMar>
              <w:top w:w="100" w:type="dxa"/>
              <w:bottom w:w="100" w:type="dxa"/>
              <w:left w:w="140" w:type="dxa"/>
              <w:right w:w="140" w:type="dxa"/>
            </w:tcMar>
          </w:tcPr>
          <w:p>
            <w:pPr>
              <w:spacing w:after="0"/>
              <w:jc w:val="left"/>
            </w:pPr>
            <w:r>
              <w:rPr>
                <w:color w:val="1E293B"/>
                <w:sz w:val="19"/>
              </w:rPr>
              <w:t>Organizational &amp; Role</w:t>
            </w:r>
          </w:p>
        </w:tc>
        <w:tc>
          <w:tcPr>
            <w:tcW w:type="dxa" w:w="4896"/>
            <w:shd w:fill="F8FAFC"/>
            <w:tcMar>
              <w:top w:w="100" w:type="dxa"/>
              <w:bottom w:w="100" w:type="dxa"/>
              <w:left w:w="140" w:type="dxa"/>
              <w:right w:w="140" w:type="dxa"/>
            </w:tcMar>
          </w:tcPr>
          <w:p>
            <w:pPr>
              <w:spacing w:after="0"/>
              <w:jc w:val="left"/>
            </w:pPr>
            <w:r>
              <w:rPr>
                <w:color w:val="1E293B"/>
                <w:sz w:val="19"/>
              </w:rPr>
              <w:t>Department, JobRole, JobLevel, TotalWorkingYears, YearsAtCompany, YearsInCurrentRole, YearsSinceLastPromotion, YearsWithCurrManager, BusinessTravel, NumCompaniesWorked</w:t>
            </w:r>
          </w:p>
        </w:tc>
        <w:tc>
          <w:tcPr>
            <w:tcW w:type="dxa" w:w="1872"/>
            <w:shd w:fill="F8FAFC"/>
            <w:tcMar>
              <w:top w:w="100" w:type="dxa"/>
              <w:bottom w:w="100" w:type="dxa"/>
              <w:left w:w="140" w:type="dxa"/>
              <w:right w:w="140" w:type="dxa"/>
            </w:tcMar>
          </w:tcPr>
          <w:p>
            <w:pPr>
              <w:spacing w:after="0"/>
              <w:jc w:val="left"/>
            </w:pPr>
            <w:r>
              <w:rPr>
                <w:color w:val="1E293B"/>
                <w:sz w:val="19"/>
              </w:rPr>
              <w:t>Continuous, Ordinal &amp; Nominal</w:t>
            </w:r>
          </w:p>
        </w:tc>
      </w:tr>
      <w:tr>
        <w:tc>
          <w:tcPr>
            <w:tcW w:type="dxa" w:w="2592"/>
            <w:shd w:fill="FFFFFF"/>
            <w:tcMar>
              <w:top w:w="100" w:type="dxa"/>
              <w:bottom w:w="100" w:type="dxa"/>
              <w:left w:w="140" w:type="dxa"/>
              <w:right w:w="140" w:type="dxa"/>
            </w:tcMar>
          </w:tcPr>
          <w:p>
            <w:pPr>
              <w:spacing w:after="0"/>
              <w:jc w:val="left"/>
            </w:pPr>
            <w:r>
              <w:rPr>
                <w:color w:val="1E293B"/>
                <w:sz w:val="19"/>
              </w:rPr>
              <w:t>Compensation &amp; Financial</w:t>
            </w:r>
          </w:p>
        </w:tc>
        <w:tc>
          <w:tcPr>
            <w:tcW w:type="dxa" w:w="4896"/>
            <w:shd w:fill="FFFFFF"/>
            <w:tcMar>
              <w:top w:w="100" w:type="dxa"/>
              <w:bottom w:w="100" w:type="dxa"/>
              <w:left w:w="140" w:type="dxa"/>
              <w:right w:w="140" w:type="dxa"/>
            </w:tcMar>
          </w:tcPr>
          <w:p>
            <w:pPr>
              <w:spacing w:after="0"/>
              <w:jc w:val="left"/>
            </w:pPr>
            <w:r>
              <w:rPr>
                <w:color w:val="1E293B"/>
                <w:sz w:val="19"/>
              </w:rPr>
              <w:t>MonthlyIncome, PercentSalaryHike, StockOptionLevel, DailyRate, HourlyRate, MonthlyRate</w:t>
            </w:r>
          </w:p>
        </w:tc>
        <w:tc>
          <w:tcPr>
            <w:tcW w:type="dxa" w:w="1872"/>
            <w:shd w:fill="FFFFFF"/>
            <w:tcMar>
              <w:top w:w="100" w:type="dxa"/>
              <w:bottom w:w="100" w:type="dxa"/>
              <w:left w:w="140" w:type="dxa"/>
              <w:right w:w="140" w:type="dxa"/>
            </w:tcMar>
          </w:tcPr>
          <w:p>
            <w:pPr>
              <w:spacing w:after="0"/>
              <w:jc w:val="left"/>
            </w:pPr>
            <w:r>
              <w:rPr>
                <w:color w:val="1E293B"/>
                <w:sz w:val="19"/>
              </w:rPr>
              <w:t>Continuous &amp; Ordinal Tiers</w:t>
            </w:r>
          </w:p>
        </w:tc>
      </w:tr>
      <w:tr>
        <w:tc>
          <w:tcPr>
            <w:tcW w:type="dxa" w:w="2592"/>
            <w:shd w:fill="F8FAFC"/>
            <w:tcMar>
              <w:top w:w="100" w:type="dxa"/>
              <w:bottom w:w="100" w:type="dxa"/>
              <w:left w:w="140" w:type="dxa"/>
              <w:right w:w="140" w:type="dxa"/>
            </w:tcMar>
          </w:tcPr>
          <w:p>
            <w:pPr>
              <w:spacing w:after="0"/>
              <w:jc w:val="left"/>
            </w:pPr>
            <w:r>
              <w:rPr>
                <w:color w:val="1E293B"/>
                <w:sz w:val="19"/>
              </w:rPr>
              <w:t>Work Environment &amp; Morale</w:t>
            </w:r>
          </w:p>
        </w:tc>
        <w:tc>
          <w:tcPr>
            <w:tcW w:type="dxa" w:w="4896"/>
            <w:shd w:fill="F8FAFC"/>
            <w:tcMar>
              <w:top w:w="100" w:type="dxa"/>
              <w:bottom w:w="100" w:type="dxa"/>
              <w:left w:w="140" w:type="dxa"/>
              <w:right w:w="140" w:type="dxa"/>
            </w:tcMar>
          </w:tcPr>
          <w:p>
            <w:pPr>
              <w:spacing w:after="0"/>
              <w:jc w:val="left"/>
            </w:pPr>
            <w:r>
              <w:rPr>
                <w:color w:val="1E293B"/>
                <w:sz w:val="19"/>
              </w:rPr>
              <w:t>OverTime, EnvironmentSatisfaction, JobSatisfaction, WorkLifeBalance, JobInvolvement, RelationshipSatisfaction, PerformanceRating</w:t>
            </w:r>
          </w:p>
        </w:tc>
        <w:tc>
          <w:tcPr>
            <w:tcW w:type="dxa" w:w="1872"/>
            <w:shd w:fill="F8FAFC"/>
            <w:tcMar>
              <w:top w:w="100" w:type="dxa"/>
              <w:bottom w:w="100" w:type="dxa"/>
              <w:left w:w="140" w:type="dxa"/>
              <w:right w:w="140" w:type="dxa"/>
            </w:tcMar>
          </w:tcPr>
          <w:p>
            <w:pPr>
              <w:spacing w:after="0"/>
              <w:jc w:val="left"/>
            </w:pPr>
            <w:r>
              <w:rPr>
                <w:color w:val="1E293B"/>
                <w:sz w:val="19"/>
              </w:rPr>
              <w:t>Binary &amp; Ordinal (Scale 1 to 4)</w:t>
            </w:r>
          </w:p>
        </w:tc>
      </w:tr>
    </w:tbl>
    <w:p>
      <w:pPr>
        <w:pStyle w:val="Heading2"/>
        <w:keepNext/>
        <w:spacing w:before="280" w:after="120"/>
      </w:pPr>
      <w:r>
        <w:rPr>
          <w:b/>
          <w:color w:val="1E40AF"/>
          <w:sz w:val="26"/>
        </w:rPr>
        <w:t>3.2 Population Parameters &amp; Statistical Baselines</w:t>
      </w:r>
    </w:p>
    <w:p>
      <w:pPr>
        <w:spacing w:before="0" w:after="120" w:line="276" w:lineRule="auto"/>
      </w:pPr>
      <w:r>
        <w:rPr>
          <w:rFonts w:ascii="Calibri" w:hAnsi="Calibri"/>
          <w:color w:val="1E293B"/>
          <w:sz w:val="21"/>
        </w:rPr>
        <w:t>Parametric and non-parametric statistical audits establish the following population benchmarks across the 1,470 records with zero missing values: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2557"/>
            <w:tcMar>
              <w:top w:w="120" w:type="dxa"/>
              <w:bottom w:w="120" w:type="dxa"/>
              <w:left w:w="140" w:type="dxa"/>
              <w:right w:w="140" w:type="dxa"/>
            </w:tcMar>
          </w:tcPr>
          <w:p>
            <w:pPr>
              <w:spacing w:after="0"/>
              <w:jc w:val="left"/>
            </w:pPr>
            <w:r>
              <w:rPr>
                <w:b/>
                <w:color w:val="FFFFFF"/>
                <w:sz w:val="20"/>
              </w:rPr>
              <w:t>Statistical Metric</w:t>
            </w:r>
          </w:p>
        </w:tc>
        <w:tc>
          <w:tcPr>
            <w:tcW w:type="dxa" w:w="2340"/>
            <w:shd w:fill="0F2557"/>
            <w:tcMar>
              <w:top w:w="120" w:type="dxa"/>
              <w:bottom w:w="120" w:type="dxa"/>
              <w:left w:w="140" w:type="dxa"/>
              <w:right w:w="140" w:type="dxa"/>
            </w:tcMar>
          </w:tcPr>
          <w:p>
            <w:pPr>
              <w:spacing w:after="0"/>
              <w:jc w:val="left"/>
            </w:pPr>
            <w:r>
              <w:rPr>
                <w:b/>
                <w:color w:val="FFFFFF"/>
                <w:sz w:val="20"/>
              </w:rPr>
              <w:t>Total Sample</w:t>
            </w:r>
          </w:p>
        </w:tc>
        <w:tc>
          <w:tcPr>
            <w:tcW w:type="dxa" w:w="2340"/>
            <w:shd w:fill="0F2557"/>
            <w:tcMar>
              <w:top w:w="120" w:type="dxa"/>
              <w:bottom w:w="120" w:type="dxa"/>
              <w:left w:w="140" w:type="dxa"/>
              <w:right w:w="140" w:type="dxa"/>
            </w:tcMar>
          </w:tcPr>
          <w:p>
            <w:pPr>
              <w:spacing w:after="0"/>
              <w:jc w:val="left"/>
            </w:pPr>
            <w:r>
              <w:rPr>
                <w:b/>
                <w:color w:val="FFFFFF"/>
                <w:sz w:val="20"/>
              </w:rPr>
              <w:t>Retained (Attrition=No)</w:t>
            </w:r>
          </w:p>
        </w:tc>
        <w:tc>
          <w:tcPr>
            <w:tcW w:type="dxa" w:w="2340"/>
            <w:shd w:fill="0F2557"/>
            <w:tcMar>
              <w:top w:w="120" w:type="dxa"/>
              <w:bottom w:w="120" w:type="dxa"/>
              <w:left w:w="140" w:type="dxa"/>
              <w:right w:w="140" w:type="dxa"/>
            </w:tcMar>
          </w:tcPr>
          <w:p>
            <w:pPr>
              <w:spacing w:after="0"/>
              <w:jc w:val="left"/>
            </w:pPr>
            <w:r>
              <w:rPr>
                <w:b/>
                <w:color w:val="FFFFFF"/>
                <w:sz w:val="20"/>
              </w:rPr>
              <w:t>Departed (Attrition=Yes)</w:t>
            </w:r>
          </w:p>
        </w:tc>
      </w:tr>
      <w:tr>
        <w:tc>
          <w:tcPr>
            <w:tcW w:type="dxa" w:w="3168"/>
            <w:shd w:fill="FFFFFF"/>
            <w:tcMar>
              <w:top w:w="100" w:type="dxa"/>
              <w:bottom w:w="100" w:type="dxa"/>
              <w:left w:w="140" w:type="dxa"/>
              <w:right w:w="140" w:type="dxa"/>
            </w:tcMar>
          </w:tcPr>
          <w:p>
            <w:pPr>
              <w:spacing w:after="0"/>
              <w:jc w:val="left"/>
            </w:pPr>
            <w:r>
              <w:rPr>
                <w:color w:val="1E293B"/>
                <w:sz w:val="19"/>
              </w:rPr>
              <w:t>Headcount Count (N)</w:t>
            </w:r>
          </w:p>
        </w:tc>
        <w:tc>
          <w:tcPr>
            <w:tcW w:type="dxa" w:w="2016"/>
            <w:shd w:fill="FFFFFF"/>
            <w:tcMar>
              <w:top w:w="100" w:type="dxa"/>
              <w:bottom w:w="100" w:type="dxa"/>
              <w:left w:w="140" w:type="dxa"/>
              <w:right w:w="140" w:type="dxa"/>
            </w:tcMar>
          </w:tcPr>
          <w:p>
            <w:pPr>
              <w:spacing w:after="0"/>
              <w:jc w:val="left"/>
            </w:pPr>
            <w:r>
              <w:rPr>
                <w:color w:val="1E293B"/>
                <w:sz w:val="19"/>
              </w:rPr>
              <w:t>1,470 (100%)</w:t>
            </w:r>
          </w:p>
        </w:tc>
        <w:tc>
          <w:tcPr>
            <w:tcW w:type="dxa" w:w="2160"/>
            <w:shd w:fill="FFFFFF"/>
            <w:tcMar>
              <w:top w:w="100" w:type="dxa"/>
              <w:bottom w:w="100" w:type="dxa"/>
              <w:left w:w="140" w:type="dxa"/>
              <w:right w:w="140" w:type="dxa"/>
            </w:tcMar>
          </w:tcPr>
          <w:p>
            <w:pPr>
              <w:spacing w:after="0"/>
              <w:jc w:val="left"/>
            </w:pPr>
            <w:r>
              <w:rPr>
                <w:color w:val="1E293B"/>
                <w:sz w:val="19"/>
              </w:rPr>
              <w:t>1,233 (83.88%)</w:t>
            </w:r>
          </w:p>
        </w:tc>
        <w:tc>
          <w:tcPr>
            <w:tcW w:type="dxa" w:w="2016"/>
            <w:shd w:fill="FFFFFF"/>
            <w:tcMar>
              <w:top w:w="100" w:type="dxa"/>
              <w:bottom w:w="100" w:type="dxa"/>
              <w:left w:w="140" w:type="dxa"/>
              <w:right w:w="140" w:type="dxa"/>
            </w:tcMar>
          </w:tcPr>
          <w:p>
            <w:pPr>
              <w:spacing w:after="0"/>
              <w:jc w:val="left"/>
            </w:pPr>
            <w:r>
              <w:rPr>
                <w:color w:val="1E293B"/>
                <w:sz w:val="19"/>
              </w:rPr>
              <w:t>237 (16.12%)</w:t>
            </w:r>
          </w:p>
        </w:tc>
      </w:tr>
      <w:tr>
        <w:tc>
          <w:tcPr>
            <w:tcW w:type="dxa" w:w="3168"/>
            <w:shd w:fill="F8FAFC"/>
            <w:tcMar>
              <w:top w:w="100" w:type="dxa"/>
              <w:bottom w:w="100" w:type="dxa"/>
              <w:left w:w="140" w:type="dxa"/>
              <w:right w:w="140" w:type="dxa"/>
            </w:tcMar>
          </w:tcPr>
          <w:p>
            <w:pPr>
              <w:spacing w:after="0"/>
              <w:jc w:val="left"/>
            </w:pPr>
            <w:r>
              <w:rPr>
                <w:color w:val="1E293B"/>
                <w:sz w:val="19"/>
              </w:rPr>
              <w:t>Mean Age (Years)</w:t>
            </w:r>
          </w:p>
        </w:tc>
        <w:tc>
          <w:tcPr>
            <w:tcW w:type="dxa" w:w="2016"/>
            <w:shd w:fill="F8FAFC"/>
            <w:tcMar>
              <w:top w:w="100" w:type="dxa"/>
              <w:bottom w:w="100" w:type="dxa"/>
              <w:left w:w="140" w:type="dxa"/>
              <w:right w:w="140" w:type="dxa"/>
            </w:tcMar>
          </w:tcPr>
          <w:p>
            <w:pPr>
              <w:spacing w:after="0"/>
              <w:jc w:val="left"/>
            </w:pPr>
            <w:r>
              <w:rPr>
                <w:color w:val="1E293B"/>
                <w:sz w:val="19"/>
              </w:rPr>
              <w:t>36.92 ± 9.14</w:t>
            </w:r>
          </w:p>
        </w:tc>
        <w:tc>
          <w:tcPr>
            <w:tcW w:type="dxa" w:w="2160"/>
            <w:shd w:fill="F8FAFC"/>
            <w:tcMar>
              <w:top w:w="100" w:type="dxa"/>
              <w:bottom w:w="100" w:type="dxa"/>
              <w:left w:w="140" w:type="dxa"/>
              <w:right w:w="140" w:type="dxa"/>
            </w:tcMar>
          </w:tcPr>
          <w:p>
            <w:pPr>
              <w:spacing w:after="0"/>
              <w:jc w:val="left"/>
            </w:pPr>
            <w:r>
              <w:rPr>
                <w:color w:val="1E293B"/>
                <w:sz w:val="19"/>
              </w:rPr>
              <w:t>37.56 ± 8.89</w:t>
            </w:r>
          </w:p>
        </w:tc>
        <w:tc>
          <w:tcPr>
            <w:tcW w:type="dxa" w:w="2016"/>
            <w:shd w:fill="F8FAFC"/>
            <w:tcMar>
              <w:top w:w="100" w:type="dxa"/>
              <w:bottom w:w="100" w:type="dxa"/>
              <w:left w:w="140" w:type="dxa"/>
              <w:right w:w="140" w:type="dxa"/>
            </w:tcMar>
          </w:tcPr>
          <w:p>
            <w:pPr>
              <w:spacing w:after="0"/>
              <w:jc w:val="left"/>
            </w:pPr>
            <w:r>
              <w:rPr>
                <w:color w:val="1E293B"/>
                <w:sz w:val="19"/>
              </w:rPr>
              <w:t>33.61 ± 9.69</w:t>
            </w:r>
          </w:p>
        </w:tc>
      </w:tr>
      <w:tr>
        <w:tc>
          <w:tcPr>
            <w:tcW w:type="dxa" w:w="3168"/>
            <w:shd w:fill="FFFFFF"/>
            <w:tcMar>
              <w:top w:w="100" w:type="dxa"/>
              <w:bottom w:w="100" w:type="dxa"/>
              <w:left w:w="140" w:type="dxa"/>
              <w:right w:w="140" w:type="dxa"/>
            </w:tcMar>
          </w:tcPr>
          <w:p>
            <w:pPr>
              <w:spacing w:after="0"/>
              <w:jc w:val="left"/>
            </w:pPr>
            <w:r>
              <w:rPr>
                <w:color w:val="1E293B"/>
                <w:sz w:val="19"/>
              </w:rPr>
              <w:t>Mean Monthly Income</w:t>
            </w:r>
          </w:p>
        </w:tc>
        <w:tc>
          <w:tcPr>
            <w:tcW w:type="dxa" w:w="2016"/>
            <w:shd w:fill="FFFFFF"/>
            <w:tcMar>
              <w:top w:w="100" w:type="dxa"/>
              <w:bottom w:w="100" w:type="dxa"/>
              <w:left w:w="140" w:type="dxa"/>
              <w:right w:w="140" w:type="dxa"/>
            </w:tcMar>
          </w:tcPr>
          <w:p>
            <w:pPr>
              <w:spacing w:after="0"/>
              <w:jc w:val="left"/>
            </w:pPr>
            <w:r>
              <w:rPr>
                <w:color w:val="1E293B"/>
                <w:sz w:val="19"/>
              </w:rPr>
              <w:t>$6,526.43</w:t>
            </w:r>
          </w:p>
        </w:tc>
        <w:tc>
          <w:tcPr>
            <w:tcW w:type="dxa" w:w="2160"/>
            <w:shd w:fill="FFFFFF"/>
            <w:tcMar>
              <w:top w:w="100" w:type="dxa"/>
              <w:bottom w:w="100" w:type="dxa"/>
              <w:left w:w="140" w:type="dxa"/>
              <w:right w:w="140" w:type="dxa"/>
            </w:tcMar>
          </w:tcPr>
          <w:p>
            <w:pPr>
              <w:spacing w:after="0"/>
              <w:jc w:val="left"/>
            </w:pPr>
            <w:r>
              <w:rPr>
                <w:color w:val="1E293B"/>
                <w:sz w:val="19"/>
              </w:rPr>
              <w:t>$6,832.74</w:t>
            </w:r>
          </w:p>
        </w:tc>
        <w:tc>
          <w:tcPr>
            <w:tcW w:type="dxa" w:w="2016"/>
            <w:shd w:fill="FFFFFF"/>
            <w:tcMar>
              <w:top w:w="100" w:type="dxa"/>
              <w:bottom w:w="100" w:type="dxa"/>
              <w:left w:w="140" w:type="dxa"/>
              <w:right w:w="140" w:type="dxa"/>
            </w:tcMar>
          </w:tcPr>
          <w:p>
            <w:pPr>
              <w:spacing w:after="0"/>
              <w:jc w:val="left"/>
            </w:pPr>
            <w:r>
              <w:rPr>
                <w:color w:val="1E293B"/>
                <w:sz w:val="19"/>
              </w:rPr>
              <w:t>$4,787.09</w:t>
            </w:r>
          </w:p>
        </w:tc>
      </w:tr>
      <w:tr>
        <w:tc>
          <w:tcPr>
            <w:tcW w:type="dxa" w:w="3168"/>
            <w:shd w:fill="F8FAFC"/>
            <w:tcMar>
              <w:top w:w="100" w:type="dxa"/>
              <w:bottom w:w="100" w:type="dxa"/>
              <w:left w:w="140" w:type="dxa"/>
              <w:right w:w="140" w:type="dxa"/>
            </w:tcMar>
          </w:tcPr>
          <w:p>
            <w:pPr>
              <w:spacing w:after="0"/>
              <w:jc w:val="left"/>
            </w:pPr>
            <w:r>
              <w:rPr>
                <w:color w:val="1E293B"/>
                <w:sz w:val="19"/>
              </w:rPr>
              <w:t>Mean Tenure at Company</w:t>
            </w:r>
          </w:p>
        </w:tc>
        <w:tc>
          <w:tcPr>
            <w:tcW w:type="dxa" w:w="2016"/>
            <w:shd w:fill="F8FAFC"/>
            <w:tcMar>
              <w:top w:w="100" w:type="dxa"/>
              <w:bottom w:w="100" w:type="dxa"/>
              <w:left w:w="140" w:type="dxa"/>
              <w:right w:w="140" w:type="dxa"/>
            </w:tcMar>
          </w:tcPr>
          <w:p>
            <w:pPr>
              <w:spacing w:after="0"/>
              <w:jc w:val="left"/>
            </w:pPr>
            <w:r>
              <w:rPr>
                <w:color w:val="1E293B"/>
                <w:sz w:val="19"/>
              </w:rPr>
              <w:t>7.01 ± 6.13 yrs</w:t>
            </w:r>
          </w:p>
        </w:tc>
        <w:tc>
          <w:tcPr>
            <w:tcW w:type="dxa" w:w="2160"/>
            <w:shd w:fill="F8FAFC"/>
            <w:tcMar>
              <w:top w:w="100" w:type="dxa"/>
              <w:bottom w:w="100" w:type="dxa"/>
              <w:left w:w="140" w:type="dxa"/>
              <w:right w:w="140" w:type="dxa"/>
            </w:tcMar>
          </w:tcPr>
          <w:p>
            <w:pPr>
              <w:spacing w:after="0"/>
              <w:jc w:val="left"/>
            </w:pPr>
            <w:r>
              <w:rPr>
                <w:color w:val="1E293B"/>
                <w:sz w:val="19"/>
              </w:rPr>
              <w:t>7.37 ± 6.09 yrs</w:t>
            </w:r>
          </w:p>
        </w:tc>
        <w:tc>
          <w:tcPr>
            <w:tcW w:type="dxa" w:w="2016"/>
            <w:shd w:fill="F8FAFC"/>
            <w:tcMar>
              <w:top w:w="100" w:type="dxa"/>
              <w:bottom w:w="100" w:type="dxa"/>
              <w:left w:w="140" w:type="dxa"/>
              <w:right w:w="140" w:type="dxa"/>
            </w:tcMar>
          </w:tcPr>
          <w:p>
            <w:pPr>
              <w:spacing w:after="0"/>
              <w:jc w:val="left"/>
            </w:pPr>
            <w:r>
              <w:rPr>
                <w:color w:val="1E293B"/>
                <w:sz w:val="19"/>
              </w:rPr>
              <w:t>5.13 ± 5.95 yrs</w:t>
            </w:r>
          </w:p>
        </w:tc>
      </w:tr>
      <w:tr>
        <w:tc>
          <w:tcPr>
            <w:tcW w:type="dxa" w:w="3168"/>
            <w:shd w:fill="FFFFFF"/>
            <w:tcMar>
              <w:top w:w="100" w:type="dxa"/>
              <w:bottom w:w="100" w:type="dxa"/>
              <w:left w:w="140" w:type="dxa"/>
              <w:right w:w="140" w:type="dxa"/>
            </w:tcMar>
          </w:tcPr>
          <w:p>
            <w:pPr>
              <w:spacing w:after="0"/>
              <w:jc w:val="left"/>
            </w:pPr>
            <w:r>
              <w:rPr>
                <w:color w:val="1E293B"/>
                <w:sz w:val="19"/>
              </w:rPr>
              <w:t>Mean Total Working Years</w:t>
            </w:r>
          </w:p>
        </w:tc>
        <w:tc>
          <w:tcPr>
            <w:tcW w:type="dxa" w:w="2016"/>
            <w:shd w:fill="FFFFFF"/>
            <w:tcMar>
              <w:top w:w="100" w:type="dxa"/>
              <w:bottom w:w="100" w:type="dxa"/>
              <w:left w:w="140" w:type="dxa"/>
              <w:right w:w="140" w:type="dxa"/>
            </w:tcMar>
          </w:tcPr>
          <w:p>
            <w:pPr>
              <w:spacing w:after="0"/>
              <w:jc w:val="left"/>
            </w:pPr>
            <w:r>
              <w:rPr>
                <w:color w:val="1E293B"/>
                <w:sz w:val="19"/>
              </w:rPr>
              <w:t>11.28 ± 7.78 yrs</w:t>
            </w:r>
          </w:p>
        </w:tc>
        <w:tc>
          <w:tcPr>
            <w:tcW w:type="dxa" w:w="2160"/>
            <w:shd w:fill="FFFFFF"/>
            <w:tcMar>
              <w:top w:w="100" w:type="dxa"/>
              <w:bottom w:w="100" w:type="dxa"/>
              <w:left w:w="140" w:type="dxa"/>
              <w:right w:w="140" w:type="dxa"/>
            </w:tcMar>
          </w:tcPr>
          <w:p>
            <w:pPr>
              <w:spacing w:after="0"/>
              <w:jc w:val="left"/>
            </w:pPr>
            <w:r>
              <w:rPr>
                <w:color w:val="1E293B"/>
                <w:sz w:val="19"/>
              </w:rPr>
              <w:t>11.86 ± 7.78 yrs</w:t>
            </w:r>
          </w:p>
        </w:tc>
        <w:tc>
          <w:tcPr>
            <w:tcW w:type="dxa" w:w="2016"/>
            <w:shd w:fill="FFFFFF"/>
            <w:tcMar>
              <w:top w:w="100" w:type="dxa"/>
              <w:bottom w:w="100" w:type="dxa"/>
              <w:left w:w="140" w:type="dxa"/>
              <w:right w:w="140" w:type="dxa"/>
            </w:tcMar>
          </w:tcPr>
          <w:p>
            <w:pPr>
              <w:spacing w:after="0"/>
              <w:jc w:val="left"/>
            </w:pPr>
            <w:r>
              <w:rPr>
                <w:color w:val="1E293B"/>
                <w:sz w:val="19"/>
              </w:rPr>
              <w:t>8.24 ± 7.17 yrs</w:t>
            </w:r>
          </w:p>
        </w:tc>
      </w:tr>
      <w:tr>
        <w:tc>
          <w:tcPr>
            <w:tcW w:type="dxa" w:w="3168"/>
            <w:shd w:fill="F8FAFC"/>
            <w:tcMar>
              <w:top w:w="100" w:type="dxa"/>
              <w:bottom w:w="100" w:type="dxa"/>
              <w:left w:w="140" w:type="dxa"/>
              <w:right w:w="140" w:type="dxa"/>
            </w:tcMar>
          </w:tcPr>
          <w:p>
            <w:pPr>
              <w:spacing w:after="0"/>
              <w:jc w:val="left"/>
            </w:pPr>
            <w:r>
              <w:rPr>
                <w:color w:val="1E293B"/>
                <w:sz w:val="19"/>
              </w:rPr>
              <w:t>Mean Distance From Home</w:t>
            </w:r>
          </w:p>
        </w:tc>
        <w:tc>
          <w:tcPr>
            <w:tcW w:type="dxa" w:w="2016"/>
            <w:shd w:fill="F8FAFC"/>
            <w:tcMar>
              <w:top w:w="100" w:type="dxa"/>
              <w:bottom w:w="100" w:type="dxa"/>
              <w:left w:w="140" w:type="dxa"/>
              <w:right w:w="140" w:type="dxa"/>
            </w:tcMar>
          </w:tcPr>
          <w:p>
            <w:pPr>
              <w:spacing w:after="0"/>
              <w:jc w:val="left"/>
            </w:pPr>
            <w:r>
              <w:rPr>
                <w:color w:val="1E293B"/>
                <w:sz w:val="19"/>
              </w:rPr>
              <w:t>9.19 ± 8.10 miles</w:t>
            </w:r>
          </w:p>
        </w:tc>
        <w:tc>
          <w:tcPr>
            <w:tcW w:type="dxa" w:w="2160"/>
            <w:shd w:fill="F8FAFC"/>
            <w:tcMar>
              <w:top w:w="100" w:type="dxa"/>
              <w:bottom w:w="100" w:type="dxa"/>
              <w:left w:w="140" w:type="dxa"/>
              <w:right w:w="140" w:type="dxa"/>
            </w:tcMar>
          </w:tcPr>
          <w:p>
            <w:pPr>
              <w:spacing w:after="0"/>
              <w:jc w:val="left"/>
            </w:pPr>
            <w:r>
              <w:rPr>
                <w:color w:val="1E293B"/>
                <w:sz w:val="19"/>
              </w:rPr>
              <w:t>8.92 ± 8.01 miles</w:t>
            </w:r>
          </w:p>
        </w:tc>
        <w:tc>
          <w:tcPr>
            <w:tcW w:type="dxa" w:w="2016"/>
            <w:shd w:fill="F8FAFC"/>
            <w:tcMar>
              <w:top w:w="100" w:type="dxa"/>
              <w:bottom w:w="100" w:type="dxa"/>
              <w:left w:w="140" w:type="dxa"/>
              <w:right w:w="140" w:type="dxa"/>
            </w:tcMar>
          </w:tcPr>
          <w:p>
            <w:pPr>
              <w:spacing w:after="0"/>
              <w:jc w:val="left"/>
            </w:pPr>
            <w:r>
              <w:rPr>
                <w:color w:val="1E293B"/>
                <w:sz w:val="19"/>
              </w:rPr>
              <w:t>10.63 ± 8.45 miles</w:t>
            </w:r>
          </w:p>
        </w:tc>
      </w:tr>
    </w:tbl>
    <w:p>
      <w:r>
        <w:br w:type="page"/>
      </w:r>
    </w:p>
    <w:p>
      <w:pPr>
        <w:pStyle w:val="Heading1"/>
        <w:keepNext/>
        <w:spacing w:before="280" w:after="120"/>
      </w:pPr>
      <w:r>
        <w:rPr>
          <w:b/>
          <w:color w:val="0F2557"/>
          <w:sz w:val="32"/>
        </w:rPr>
        <w:t>4.0 Empirical Discoveries: The Three Critical Attrition Triggers</w:t>
      </w:r>
    </w:p>
    <w:p>
      <w:pPr>
        <w:spacing w:before="0" w:after="120" w:line="276" w:lineRule="auto"/>
      </w:pPr>
      <w:r>
        <w:rPr>
          <w:rFonts w:ascii="Calibri" w:hAnsi="Calibri"/>
          <w:color w:val="1E293B"/>
          <w:sz w:val="21"/>
        </w:rPr>
        <w:t>Exploratory bivariate cross-tabulations and chi-square tests of independence (p &lt; 0.001) isolated three paramount empirical triggers that govern workforce mobility:</w:t>
      </w:r>
    </w:p>
    <w:p>
      <w:pPr>
        <w:pStyle w:val="Heading2"/>
        <w:keepNext/>
        <w:spacing w:before="280" w:after="120"/>
      </w:pPr>
      <w:r>
        <w:rPr>
          <w:b/>
          <w:color w:val="1E40AF"/>
          <w:sz w:val="26"/>
        </w:rPr>
        <w:t>4.1 Primary Trigger #1: OverTime Mandate Burnout (3x Risk Multiplier)</w:t>
      </w:r>
    </w:p>
    <w:p>
      <w:pPr>
        <w:spacing w:before="0" w:after="120" w:line="276" w:lineRule="auto"/>
      </w:pPr>
      <w:r>
        <w:rPr>
          <w:rFonts w:ascii="Calibri" w:hAnsi="Calibri"/>
          <w:color w:val="1E293B"/>
          <w:sz w:val="21"/>
        </w:rPr>
        <w:t>The single most potent individual predictor in the dataset is mandatory overtime. Out of 416 employees required to work overtime, 127 voluntarily departed, resulting in a staggering 30.53% attrition rate. Conversely, among 1,054 employees working standard hours, only 110 departed, yielding an attrition rate of 10.44%.</w:t>
        <w:br/>
        <w:t>• Relative Risk (RR): 30.53% / 10.44% = 2.92 (Employees working overtime are nearly 3 times more likely to leave).</w:t>
        <w:br/>
        <w:t>• Odds Ratio (OR): (127 × 944) / (289 × 110) = 3.77 (p &lt; 0.0001, highly statistically significant).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557"/>
            <w:tcMar>
              <w:top w:w="120" w:type="dxa"/>
              <w:bottom w:w="120" w:type="dxa"/>
              <w:left w:w="140" w:type="dxa"/>
              <w:right w:w="140" w:type="dxa"/>
            </w:tcMar>
          </w:tcPr>
          <w:p>
            <w:pPr>
              <w:spacing w:after="0"/>
              <w:jc w:val="left"/>
            </w:pPr>
            <w:r>
              <w:rPr>
                <w:b/>
                <w:color w:val="FFFFFF"/>
                <w:sz w:val="20"/>
              </w:rPr>
              <w:t>OverTime Status</w:t>
            </w:r>
          </w:p>
        </w:tc>
        <w:tc>
          <w:tcPr>
            <w:tcW w:type="dxa" w:w="1872"/>
            <w:shd w:fill="0F2557"/>
            <w:tcMar>
              <w:top w:w="120" w:type="dxa"/>
              <w:bottom w:w="120" w:type="dxa"/>
              <w:left w:w="140" w:type="dxa"/>
              <w:right w:w="140" w:type="dxa"/>
            </w:tcMar>
          </w:tcPr>
          <w:p>
            <w:pPr>
              <w:spacing w:after="0"/>
              <w:jc w:val="left"/>
            </w:pPr>
            <w:r>
              <w:rPr>
                <w:b/>
                <w:color w:val="FFFFFF"/>
                <w:sz w:val="20"/>
              </w:rPr>
              <w:t>Total Headcount</w:t>
            </w:r>
          </w:p>
        </w:tc>
        <w:tc>
          <w:tcPr>
            <w:tcW w:type="dxa" w:w="1872"/>
            <w:shd w:fill="0F2557"/>
            <w:tcMar>
              <w:top w:w="120" w:type="dxa"/>
              <w:bottom w:w="120" w:type="dxa"/>
              <w:left w:w="140" w:type="dxa"/>
              <w:right w:w="140" w:type="dxa"/>
            </w:tcMar>
          </w:tcPr>
          <w:p>
            <w:pPr>
              <w:spacing w:after="0"/>
              <w:jc w:val="left"/>
            </w:pPr>
            <w:r>
              <w:rPr>
                <w:b/>
                <w:color w:val="FFFFFF"/>
                <w:sz w:val="20"/>
              </w:rPr>
              <w:t>Retained Staff</w:t>
            </w:r>
          </w:p>
        </w:tc>
        <w:tc>
          <w:tcPr>
            <w:tcW w:type="dxa" w:w="1872"/>
            <w:shd w:fill="0F2557"/>
            <w:tcMar>
              <w:top w:w="120" w:type="dxa"/>
              <w:bottom w:w="120" w:type="dxa"/>
              <w:left w:w="140" w:type="dxa"/>
              <w:right w:w="140" w:type="dxa"/>
            </w:tcMar>
          </w:tcPr>
          <w:p>
            <w:pPr>
              <w:spacing w:after="0"/>
              <w:jc w:val="left"/>
            </w:pPr>
            <w:r>
              <w:rPr>
                <w:b/>
                <w:color w:val="FFFFFF"/>
                <w:sz w:val="20"/>
              </w:rPr>
              <w:t>Voluntary Exits</w:t>
            </w:r>
          </w:p>
        </w:tc>
        <w:tc>
          <w:tcPr>
            <w:tcW w:type="dxa" w:w="1872"/>
            <w:shd w:fill="0F2557"/>
            <w:tcMar>
              <w:top w:w="120" w:type="dxa"/>
              <w:bottom w:w="120" w:type="dxa"/>
              <w:left w:w="140" w:type="dxa"/>
              <w:right w:w="140" w:type="dxa"/>
            </w:tcMar>
          </w:tcPr>
          <w:p>
            <w:pPr>
              <w:spacing w:after="0"/>
              <w:jc w:val="left"/>
            </w:pPr>
            <w:r>
              <w:rPr>
                <w:b/>
                <w:color w:val="FFFFFF"/>
                <w:sz w:val="20"/>
              </w:rPr>
              <w:t>Attrition Rate (%)</w:t>
            </w:r>
          </w:p>
        </w:tc>
      </w:tr>
      <w:tr>
        <w:tc>
          <w:tcPr>
            <w:tcW w:type="dxa" w:w="1872"/>
            <w:shd w:fill="FFFFFF"/>
            <w:tcMar>
              <w:top w:w="100" w:type="dxa"/>
              <w:bottom w:w="100" w:type="dxa"/>
              <w:left w:w="140" w:type="dxa"/>
              <w:right w:w="140" w:type="dxa"/>
            </w:tcMar>
          </w:tcPr>
          <w:p>
            <w:pPr>
              <w:spacing w:after="0"/>
              <w:jc w:val="left"/>
            </w:pPr>
            <w:r>
              <w:rPr>
                <w:color w:val="1E293B"/>
                <w:sz w:val="19"/>
              </w:rPr>
              <w:t>OverTime = YES</w:t>
            </w:r>
          </w:p>
        </w:tc>
        <w:tc>
          <w:tcPr>
            <w:tcW w:type="dxa" w:w="1872"/>
            <w:shd w:fill="FFFFFF"/>
            <w:tcMar>
              <w:top w:w="100" w:type="dxa"/>
              <w:bottom w:w="100" w:type="dxa"/>
              <w:left w:w="140" w:type="dxa"/>
              <w:right w:w="140" w:type="dxa"/>
            </w:tcMar>
          </w:tcPr>
          <w:p>
            <w:pPr>
              <w:spacing w:after="0"/>
              <w:jc w:val="left"/>
            </w:pPr>
            <w:r>
              <w:rPr>
                <w:color w:val="1E293B"/>
                <w:sz w:val="19"/>
              </w:rPr>
              <w:t>416 (28.3%)</w:t>
            </w:r>
          </w:p>
        </w:tc>
        <w:tc>
          <w:tcPr>
            <w:tcW w:type="dxa" w:w="1872"/>
            <w:shd w:fill="FFFFFF"/>
            <w:tcMar>
              <w:top w:w="100" w:type="dxa"/>
              <w:bottom w:w="100" w:type="dxa"/>
              <w:left w:w="140" w:type="dxa"/>
              <w:right w:w="140" w:type="dxa"/>
            </w:tcMar>
          </w:tcPr>
          <w:p>
            <w:pPr>
              <w:spacing w:after="0"/>
              <w:jc w:val="left"/>
            </w:pPr>
            <w:r>
              <w:rPr>
                <w:color w:val="1E293B"/>
                <w:sz w:val="19"/>
              </w:rPr>
              <w:t>289 (69.47%)</w:t>
            </w:r>
          </w:p>
        </w:tc>
        <w:tc>
          <w:tcPr>
            <w:tcW w:type="dxa" w:w="1872"/>
            <w:shd w:fill="FFFFFF"/>
            <w:tcMar>
              <w:top w:w="100" w:type="dxa"/>
              <w:bottom w:w="100" w:type="dxa"/>
              <w:left w:w="140" w:type="dxa"/>
              <w:right w:w="140" w:type="dxa"/>
            </w:tcMar>
          </w:tcPr>
          <w:p>
            <w:pPr>
              <w:spacing w:after="0"/>
              <w:jc w:val="left"/>
            </w:pPr>
            <w:r>
              <w:rPr>
                <w:color w:val="1E293B"/>
                <w:sz w:val="19"/>
              </w:rPr>
              <w:t>127 (30.53%)</w:t>
            </w:r>
          </w:p>
        </w:tc>
        <w:tc>
          <w:tcPr>
            <w:tcW w:type="dxa" w:w="1872"/>
            <w:shd w:fill="FFFFFF"/>
            <w:tcMar>
              <w:top w:w="100" w:type="dxa"/>
              <w:bottom w:w="100" w:type="dxa"/>
              <w:left w:w="140" w:type="dxa"/>
              <w:right w:w="140" w:type="dxa"/>
            </w:tcMar>
          </w:tcPr>
          <w:p>
            <w:pPr>
              <w:spacing w:after="0"/>
              <w:jc w:val="left"/>
            </w:pPr>
            <w:r>
              <w:rPr>
                <w:color w:val="1E293B"/>
                <w:sz w:val="19"/>
              </w:rPr>
              <w:t>30.53% [High Risk]</w:t>
            </w:r>
          </w:p>
        </w:tc>
      </w:tr>
      <w:tr>
        <w:tc>
          <w:tcPr>
            <w:tcW w:type="dxa" w:w="1872"/>
            <w:shd w:fill="F8FAFC"/>
            <w:tcMar>
              <w:top w:w="100" w:type="dxa"/>
              <w:bottom w:w="100" w:type="dxa"/>
              <w:left w:w="140" w:type="dxa"/>
              <w:right w:w="140" w:type="dxa"/>
            </w:tcMar>
          </w:tcPr>
          <w:p>
            <w:pPr>
              <w:spacing w:after="0"/>
              <w:jc w:val="left"/>
            </w:pPr>
            <w:r>
              <w:rPr>
                <w:color w:val="1E293B"/>
                <w:sz w:val="19"/>
              </w:rPr>
              <w:t>OverTime = NO</w:t>
            </w:r>
          </w:p>
        </w:tc>
        <w:tc>
          <w:tcPr>
            <w:tcW w:type="dxa" w:w="1872"/>
            <w:shd w:fill="F8FAFC"/>
            <w:tcMar>
              <w:top w:w="100" w:type="dxa"/>
              <w:bottom w:w="100" w:type="dxa"/>
              <w:left w:w="140" w:type="dxa"/>
              <w:right w:w="140" w:type="dxa"/>
            </w:tcMar>
          </w:tcPr>
          <w:p>
            <w:pPr>
              <w:spacing w:after="0"/>
              <w:jc w:val="left"/>
            </w:pPr>
            <w:r>
              <w:rPr>
                <w:color w:val="1E293B"/>
                <w:sz w:val="19"/>
              </w:rPr>
              <w:t>1,054 (71.7%)</w:t>
            </w:r>
          </w:p>
        </w:tc>
        <w:tc>
          <w:tcPr>
            <w:tcW w:type="dxa" w:w="1872"/>
            <w:shd w:fill="F8FAFC"/>
            <w:tcMar>
              <w:top w:w="100" w:type="dxa"/>
              <w:bottom w:w="100" w:type="dxa"/>
              <w:left w:w="140" w:type="dxa"/>
              <w:right w:w="140" w:type="dxa"/>
            </w:tcMar>
          </w:tcPr>
          <w:p>
            <w:pPr>
              <w:spacing w:after="0"/>
              <w:jc w:val="left"/>
            </w:pPr>
            <w:r>
              <w:rPr>
                <w:color w:val="1E293B"/>
                <w:sz w:val="19"/>
              </w:rPr>
              <w:t>944 (89.56%)</w:t>
            </w:r>
          </w:p>
        </w:tc>
        <w:tc>
          <w:tcPr>
            <w:tcW w:type="dxa" w:w="1872"/>
            <w:shd w:fill="F8FAFC"/>
            <w:tcMar>
              <w:top w:w="100" w:type="dxa"/>
              <w:bottom w:w="100" w:type="dxa"/>
              <w:left w:w="140" w:type="dxa"/>
              <w:right w:w="140" w:type="dxa"/>
            </w:tcMar>
          </w:tcPr>
          <w:p>
            <w:pPr>
              <w:spacing w:after="0"/>
              <w:jc w:val="left"/>
            </w:pPr>
            <w:r>
              <w:rPr>
                <w:color w:val="1E293B"/>
                <w:sz w:val="19"/>
              </w:rPr>
              <w:t>110 (10.44%)</w:t>
            </w:r>
          </w:p>
        </w:tc>
        <w:tc>
          <w:tcPr>
            <w:tcW w:type="dxa" w:w="1872"/>
            <w:shd w:fill="F8FAFC"/>
            <w:tcMar>
              <w:top w:w="100" w:type="dxa"/>
              <w:bottom w:w="100" w:type="dxa"/>
              <w:left w:w="140" w:type="dxa"/>
              <w:right w:w="140" w:type="dxa"/>
            </w:tcMar>
          </w:tcPr>
          <w:p>
            <w:pPr>
              <w:spacing w:after="0"/>
              <w:jc w:val="left"/>
            </w:pPr>
            <w:r>
              <w:rPr>
                <w:color w:val="1E293B"/>
                <w:sz w:val="19"/>
              </w:rPr>
              <w:t>10.44% [Controlled]</w:t>
            </w:r>
          </w:p>
        </w:tc>
      </w:tr>
      <w:tr>
        <w:tc>
          <w:tcPr>
            <w:tcW w:type="dxa" w:w="1872"/>
            <w:shd w:fill="FFFFFF"/>
            <w:tcMar>
              <w:top w:w="100" w:type="dxa"/>
              <w:bottom w:w="100" w:type="dxa"/>
              <w:left w:w="140" w:type="dxa"/>
              <w:right w:w="140" w:type="dxa"/>
            </w:tcMar>
          </w:tcPr>
          <w:p>
            <w:pPr>
              <w:spacing w:after="0"/>
              <w:jc w:val="left"/>
            </w:pPr>
            <w:r>
              <w:rPr>
                <w:color w:val="1E293B"/>
                <w:sz w:val="19"/>
              </w:rPr>
              <w:t>Enterprise Baseline</w:t>
            </w:r>
          </w:p>
        </w:tc>
        <w:tc>
          <w:tcPr>
            <w:tcW w:type="dxa" w:w="1872"/>
            <w:shd w:fill="FFFFFF"/>
            <w:tcMar>
              <w:top w:w="100" w:type="dxa"/>
              <w:bottom w:w="100" w:type="dxa"/>
              <w:left w:w="140" w:type="dxa"/>
              <w:right w:w="140" w:type="dxa"/>
            </w:tcMar>
          </w:tcPr>
          <w:p>
            <w:pPr>
              <w:spacing w:after="0"/>
              <w:jc w:val="left"/>
            </w:pPr>
            <w:r>
              <w:rPr>
                <w:color w:val="1E293B"/>
                <w:sz w:val="19"/>
              </w:rPr>
              <w:t>1,470 (100%)</w:t>
            </w:r>
          </w:p>
        </w:tc>
        <w:tc>
          <w:tcPr>
            <w:tcW w:type="dxa" w:w="1872"/>
            <w:shd w:fill="FFFFFF"/>
            <w:tcMar>
              <w:top w:w="100" w:type="dxa"/>
              <w:bottom w:w="100" w:type="dxa"/>
              <w:left w:w="140" w:type="dxa"/>
              <w:right w:w="140" w:type="dxa"/>
            </w:tcMar>
          </w:tcPr>
          <w:p>
            <w:pPr>
              <w:spacing w:after="0"/>
              <w:jc w:val="left"/>
            </w:pPr>
            <w:r>
              <w:rPr>
                <w:color w:val="1E293B"/>
                <w:sz w:val="19"/>
              </w:rPr>
              <w:t>1,233 (83.88%)</w:t>
            </w:r>
          </w:p>
        </w:tc>
        <w:tc>
          <w:tcPr>
            <w:tcW w:type="dxa" w:w="1872"/>
            <w:shd w:fill="FFFFFF"/>
            <w:tcMar>
              <w:top w:w="100" w:type="dxa"/>
              <w:bottom w:w="100" w:type="dxa"/>
              <w:left w:w="140" w:type="dxa"/>
              <w:right w:w="140" w:type="dxa"/>
            </w:tcMar>
          </w:tcPr>
          <w:p>
            <w:pPr>
              <w:spacing w:after="0"/>
              <w:jc w:val="left"/>
            </w:pPr>
            <w:r>
              <w:rPr>
                <w:color w:val="1E293B"/>
                <w:sz w:val="19"/>
              </w:rPr>
              <w:t>237 (16.12%)</w:t>
            </w:r>
          </w:p>
        </w:tc>
        <w:tc>
          <w:tcPr>
            <w:tcW w:type="dxa" w:w="1872"/>
            <w:shd w:fill="FFFFFF"/>
            <w:tcMar>
              <w:top w:w="100" w:type="dxa"/>
              <w:bottom w:w="100" w:type="dxa"/>
              <w:left w:w="140" w:type="dxa"/>
              <w:right w:w="140" w:type="dxa"/>
            </w:tcMar>
          </w:tcPr>
          <w:p>
            <w:pPr>
              <w:spacing w:after="0"/>
              <w:jc w:val="left"/>
            </w:pPr>
            <w:r>
              <w:rPr>
                <w:color w:val="1E293B"/>
                <w:sz w:val="19"/>
              </w:rPr>
              <w:t>16.12% [Overall]</w:t>
            </w:r>
          </w:p>
        </w:tc>
      </w:tr>
    </w:tbl>
    <w:p>
      <w:pPr>
        <w:pStyle w:val="Heading2"/>
        <w:keepNext/>
        <w:spacing w:before="280" w:after="120"/>
      </w:pPr>
      <w:r>
        <w:rPr>
          <w:b/>
          <w:color w:val="1E40AF"/>
          <w:sz w:val="26"/>
        </w:rPr>
        <w:t>4.2 Primary Trigger #2: Job Satisfaction Gradient (-50% Risk Drop)</w:t>
      </w:r>
    </w:p>
    <w:p>
      <w:pPr>
        <w:spacing w:before="0" w:after="120" w:line="276" w:lineRule="auto"/>
      </w:pPr>
      <w:r>
        <w:rPr>
          <w:rFonts w:ascii="Calibri" w:hAnsi="Calibri"/>
          <w:color w:val="1E293B"/>
          <w:sz w:val="21"/>
        </w:rPr>
        <w:t>Employee self-reported Job Satisfaction (measured on an ordinal scale from 1 to 4) reveals a strictly monotonic inverse relationship with attrition probability. Moving employees from Level 1 Low satisfaction (22.84% attrition) to Level 4 Very High satisfaction (11.33% attrition) cuts exit probability by over half (-50.4% relative risk drop).</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557"/>
            <w:tcMar>
              <w:top w:w="120" w:type="dxa"/>
              <w:bottom w:w="120" w:type="dxa"/>
              <w:left w:w="140" w:type="dxa"/>
              <w:right w:w="140" w:type="dxa"/>
            </w:tcMar>
          </w:tcPr>
          <w:p>
            <w:pPr>
              <w:spacing w:after="0"/>
              <w:jc w:val="left"/>
            </w:pPr>
            <w:r>
              <w:rPr>
                <w:b/>
                <w:color w:val="FFFFFF"/>
                <w:sz w:val="20"/>
              </w:rPr>
              <w:t>Satisfaction Level</w:t>
            </w:r>
          </w:p>
        </w:tc>
        <w:tc>
          <w:tcPr>
            <w:tcW w:type="dxa" w:w="1872"/>
            <w:shd w:fill="0F2557"/>
            <w:tcMar>
              <w:top w:w="120" w:type="dxa"/>
              <w:bottom w:w="120" w:type="dxa"/>
              <w:left w:w="140" w:type="dxa"/>
              <w:right w:w="140" w:type="dxa"/>
            </w:tcMar>
          </w:tcPr>
          <w:p>
            <w:pPr>
              <w:spacing w:after="0"/>
              <w:jc w:val="left"/>
            </w:pPr>
            <w:r>
              <w:rPr>
                <w:b/>
                <w:color w:val="FFFFFF"/>
                <w:sz w:val="20"/>
              </w:rPr>
              <w:t>Cohort Size</w:t>
            </w:r>
          </w:p>
        </w:tc>
        <w:tc>
          <w:tcPr>
            <w:tcW w:type="dxa" w:w="1872"/>
            <w:shd w:fill="0F2557"/>
            <w:tcMar>
              <w:top w:w="120" w:type="dxa"/>
              <w:bottom w:w="120" w:type="dxa"/>
              <w:left w:w="140" w:type="dxa"/>
              <w:right w:w="140" w:type="dxa"/>
            </w:tcMar>
          </w:tcPr>
          <w:p>
            <w:pPr>
              <w:spacing w:after="0"/>
              <w:jc w:val="left"/>
            </w:pPr>
            <w:r>
              <w:rPr>
                <w:b/>
                <w:color w:val="FFFFFF"/>
                <w:sz w:val="20"/>
              </w:rPr>
              <w:t>Retained</w:t>
            </w:r>
          </w:p>
        </w:tc>
        <w:tc>
          <w:tcPr>
            <w:tcW w:type="dxa" w:w="1872"/>
            <w:shd w:fill="0F2557"/>
            <w:tcMar>
              <w:top w:w="120" w:type="dxa"/>
              <w:bottom w:w="120" w:type="dxa"/>
              <w:left w:w="140" w:type="dxa"/>
              <w:right w:w="140" w:type="dxa"/>
            </w:tcMar>
          </w:tcPr>
          <w:p>
            <w:pPr>
              <w:spacing w:after="0"/>
              <w:jc w:val="left"/>
            </w:pPr>
            <w:r>
              <w:rPr>
                <w:b/>
                <w:color w:val="FFFFFF"/>
                <w:sz w:val="20"/>
              </w:rPr>
              <w:t>Departed</w:t>
            </w:r>
          </w:p>
        </w:tc>
        <w:tc>
          <w:tcPr>
            <w:tcW w:type="dxa" w:w="1872"/>
            <w:shd w:fill="0F2557"/>
            <w:tcMar>
              <w:top w:w="120" w:type="dxa"/>
              <w:bottom w:w="120" w:type="dxa"/>
              <w:left w:w="140" w:type="dxa"/>
              <w:right w:w="140" w:type="dxa"/>
            </w:tcMar>
          </w:tcPr>
          <w:p>
            <w:pPr>
              <w:spacing w:after="0"/>
              <w:jc w:val="left"/>
            </w:pPr>
            <w:r>
              <w:rPr>
                <w:b/>
                <w:color w:val="FFFFFF"/>
                <w:sz w:val="20"/>
              </w:rPr>
              <w:t>Attrition Rate (%)</w:t>
            </w:r>
          </w:p>
        </w:tc>
      </w:tr>
      <w:tr>
        <w:tc>
          <w:tcPr>
            <w:tcW w:type="dxa" w:w="1872"/>
            <w:shd w:fill="FFFFFF"/>
            <w:tcMar>
              <w:top w:w="100" w:type="dxa"/>
              <w:bottom w:w="100" w:type="dxa"/>
              <w:left w:w="140" w:type="dxa"/>
              <w:right w:w="140" w:type="dxa"/>
            </w:tcMar>
          </w:tcPr>
          <w:p>
            <w:pPr>
              <w:spacing w:after="0"/>
              <w:jc w:val="left"/>
            </w:pPr>
            <w:r>
              <w:rPr>
                <w:color w:val="1E293B"/>
                <w:sz w:val="19"/>
              </w:rPr>
              <w:t>Level 1 — Low</w:t>
            </w:r>
          </w:p>
        </w:tc>
        <w:tc>
          <w:tcPr>
            <w:tcW w:type="dxa" w:w="1872"/>
            <w:shd w:fill="FFFFFF"/>
            <w:tcMar>
              <w:top w:w="100" w:type="dxa"/>
              <w:bottom w:w="100" w:type="dxa"/>
              <w:left w:w="140" w:type="dxa"/>
              <w:right w:w="140" w:type="dxa"/>
            </w:tcMar>
          </w:tcPr>
          <w:p>
            <w:pPr>
              <w:spacing w:after="0"/>
              <w:jc w:val="left"/>
            </w:pPr>
            <w:r>
              <w:rPr>
                <w:color w:val="1E293B"/>
                <w:sz w:val="19"/>
              </w:rPr>
              <w:t>289</w:t>
            </w:r>
          </w:p>
        </w:tc>
        <w:tc>
          <w:tcPr>
            <w:tcW w:type="dxa" w:w="1872"/>
            <w:shd w:fill="FFFFFF"/>
            <w:tcMar>
              <w:top w:w="100" w:type="dxa"/>
              <w:bottom w:w="100" w:type="dxa"/>
              <w:left w:w="140" w:type="dxa"/>
              <w:right w:w="140" w:type="dxa"/>
            </w:tcMar>
          </w:tcPr>
          <w:p>
            <w:pPr>
              <w:spacing w:after="0"/>
              <w:jc w:val="left"/>
            </w:pPr>
            <w:r>
              <w:rPr>
                <w:color w:val="1E293B"/>
                <w:sz w:val="19"/>
              </w:rPr>
              <w:t>223</w:t>
            </w:r>
          </w:p>
        </w:tc>
        <w:tc>
          <w:tcPr>
            <w:tcW w:type="dxa" w:w="1872"/>
            <w:shd w:fill="FFFFFF"/>
            <w:tcMar>
              <w:top w:w="100" w:type="dxa"/>
              <w:bottom w:w="100" w:type="dxa"/>
              <w:left w:w="140" w:type="dxa"/>
              <w:right w:w="140" w:type="dxa"/>
            </w:tcMar>
          </w:tcPr>
          <w:p>
            <w:pPr>
              <w:spacing w:after="0"/>
              <w:jc w:val="left"/>
            </w:pPr>
            <w:r>
              <w:rPr>
                <w:color w:val="1E293B"/>
                <w:sz w:val="19"/>
              </w:rPr>
              <w:t>66</w:t>
            </w:r>
          </w:p>
        </w:tc>
        <w:tc>
          <w:tcPr>
            <w:tcW w:type="dxa" w:w="1872"/>
            <w:shd w:fill="FFFFFF"/>
            <w:tcMar>
              <w:top w:w="100" w:type="dxa"/>
              <w:bottom w:w="100" w:type="dxa"/>
              <w:left w:w="140" w:type="dxa"/>
              <w:right w:w="140" w:type="dxa"/>
            </w:tcMar>
          </w:tcPr>
          <w:p>
            <w:pPr>
              <w:spacing w:after="0"/>
              <w:jc w:val="left"/>
            </w:pPr>
            <w:r>
              <w:rPr>
                <w:color w:val="1E293B"/>
                <w:sz w:val="19"/>
              </w:rPr>
              <w:t>22.84%</w:t>
            </w:r>
          </w:p>
        </w:tc>
      </w:tr>
      <w:tr>
        <w:tc>
          <w:tcPr>
            <w:tcW w:type="dxa" w:w="1872"/>
            <w:shd w:fill="F8FAFC"/>
            <w:tcMar>
              <w:top w:w="100" w:type="dxa"/>
              <w:bottom w:w="100" w:type="dxa"/>
              <w:left w:w="140" w:type="dxa"/>
              <w:right w:w="140" w:type="dxa"/>
            </w:tcMar>
          </w:tcPr>
          <w:p>
            <w:pPr>
              <w:spacing w:after="0"/>
              <w:jc w:val="left"/>
            </w:pPr>
            <w:r>
              <w:rPr>
                <w:color w:val="1E293B"/>
                <w:sz w:val="19"/>
              </w:rPr>
              <w:t>Level 2 — Medium</w:t>
            </w:r>
          </w:p>
        </w:tc>
        <w:tc>
          <w:tcPr>
            <w:tcW w:type="dxa" w:w="1872"/>
            <w:shd w:fill="F8FAFC"/>
            <w:tcMar>
              <w:top w:w="100" w:type="dxa"/>
              <w:bottom w:w="100" w:type="dxa"/>
              <w:left w:w="140" w:type="dxa"/>
              <w:right w:w="140" w:type="dxa"/>
            </w:tcMar>
          </w:tcPr>
          <w:p>
            <w:pPr>
              <w:spacing w:after="0"/>
              <w:jc w:val="left"/>
            </w:pPr>
            <w:r>
              <w:rPr>
                <w:color w:val="1E293B"/>
                <w:sz w:val="19"/>
              </w:rPr>
              <w:t>280</w:t>
            </w:r>
          </w:p>
        </w:tc>
        <w:tc>
          <w:tcPr>
            <w:tcW w:type="dxa" w:w="1872"/>
            <w:shd w:fill="F8FAFC"/>
            <w:tcMar>
              <w:top w:w="100" w:type="dxa"/>
              <w:bottom w:w="100" w:type="dxa"/>
              <w:left w:w="140" w:type="dxa"/>
              <w:right w:w="140" w:type="dxa"/>
            </w:tcMar>
          </w:tcPr>
          <w:p>
            <w:pPr>
              <w:spacing w:after="0"/>
              <w:jc w:val="left"/>
            </w:pPr>
            <w:r>
              <w:rPr>
                <w:color w:val="1E293B"/>
                <w:sz w:val="19"/>
              </w:rPr>
              <w:t>234</w:t>
            </w:r>
          </w:p>
        </w:tc>
        <w:tc>
          <w:tcPr>
            <w:tcW w:type="dxa" w:w="1872"/>
            <w:shd w:fill="F8FAFC"/>
            <w:tcMar>
              <w:top w:w="100" w:type="dxa"/>
              <w:bottom w:w="100" w:type="dxa"/>
              <w:left w:w="140" w:type="dxa"/>
              <w:right w:w="140" w:type="dxa"/>
            </w:tcMar>
          </w:tcPr>
          <w:p>
            <w:pPr>
              <w:spacing w:after="0"/>
              <w:jc w:val="left"/>
            </w:pPr>
            <w:r>
              <w:rPr>
                <w:color w:val="1E293B"/>
                <w:sz w:val="19"/>
              </w:rPr>
              <w:t>46</w:t>
            </w:r>
          </w:p>
        </w:tc>
        <w:tc>
          <w:tcPr>
            <w:tcW w:type="dxa" w:w="1872"/>
            <w:shd w:fill="F8FAFC"/>
            <w:tcMar>
              <w:top w:w="100" w:type="dxa"/>
              <w:bottom w:w="100" w:type="dxa"/>
              <w:left w:w="140" w:type="dxa"/>
              <w:right w:w="140" w:type="dxa"/>
            </w:tcMar>
          </w:tcPr>
          <w:p>
            <w:pPr>
              <w:spacing w:after="0"/>
              <w:jc w:val="left"/>
            </w:pPr>
            <w:r>
              <w:rPr>
                <w:color w:val="1E293B"/>
                <w:sz w:val="19"/>
              </w:rPr>
              <w:t>16.43%</w:t>
            </w:r>
          </w:p>
        </w:tc>
      </w:tr>
      <w:tr>
        <w:tc>
          <w:tcPr>
            <w:tcW w:type="dxa" w:w="1872"/>
            <w:shd w:fill="FFFFFF"/>
            <w:tcMar>
              <w:top w:w="100" w:type="dxa"/>
              <w:bottom w:w="100" w:type="dxa"/>
              <w:left w:w="140" w:type="dxa"/>
              <w:right w:w="140" w:type="dxa"/>
            </w:tcMar>
          </w:tcPr>
          <w:p>
            <w:pPr>
              <w:spacing w:after="0"/>
              <w:jc w:val="left"/>
            </w:pPr>
            <w:r>
              <w:rPr>
                <w:color w:val="1E293B"/>
                <w:sz w:val="19"/>
              </w:rPr>
              <w:t>Level 3 — High</w:t>
            </w:r>
          </w:p>
        </w:tc>
        <w:tc>
          <w:tcPr>
            <w:tcW w:type="dxa" w:w="1872"/>
            <w:shd w:fill="FFFFFF"/>
            <w:tcMar>
              <w:top w:w="100" w:type="dxa"/>
              <w:bottom w:w="100" w:type="dxa"/>
              <w:left w:w="140" w:type="dxa"/>
              <w:right w:w="140" w:type="dxa"/>
            </w:tcMar>
          </w:tcPr>
          <w:p>
            <w:pPr>
              <w:spacing w:after="0"/>
              <w:jc w:val="left"/>
            </w:pPr>
            <w:r>
              <w:rPr>
                <w:color w:val="1E293B"/>
                <w:sz w:val="19"/>
              </w:rPr>
              <w:t>442</w:t>
            </w:r>
          </w:p>
        </w:tc>
        <w:tc>
          <w:tcPr>
            <w:tcW w:type="dxa" w:w="1872"/>
            <w:shd w:fill="FFFFFF"/>
            <w:tcMar>
              <w:top w:w="100" w:type="dxa"/>
              <w:bottom w:w="100" w:type="dxa"/>
              <w:left w:w="140" w:type="dxa"/>
              <w:right w:w="140" w:type="dxa"/>
            </w:tcMar>
          </w:tcPr>
          <w:p>
            <w:pPr>
              <w:spacing w:after="0"/>
              <w:jc w:val="left"/>
            </w:pPr>
            <w:r>
              <w:rPr>
                <w:color w:val="1E293B"/>
                <w:sz w:val="19"/>
              </w:rPr>
              <w:t>369</w:t>
            </w:r>
          </w:p>
        </w:tc>
        <w:tc>
          <w:tcPr>
            <w:tcW w:type="dxa" w:w="1872"/>
            <w:shd w:fill="FFFFFF"/>
            <w:tcMar>
              <w:top w:w="100" w:type="dxa"/>
              <w:bottom w:w="100" w:type="dxa"/>
              <w:left w:w="140" w:type="dxa"/>
              <w:right w:w="140" w:type="dxa"/>
            </w:tcMar>
          </w:tcPr>
          <w:p>
            <w:pPr>
              <w:spacing w:after="0"/>
              <w:jc w:val="left"/>
            </w:pPr>
            <w:r>
              <w:rPr>
                <w:color w:val="1E293B"/>
                <w:sz w:val="19"/>
              </w:rPr>
              <w:t>73</w:t>
            </w:r>
          </w:p>
        </w:tc>
        <w:tc>
          <w:tcPr>
            <w:tcW w:type="dxa" w:w="1872"/>
            <w:shd w:fill="FFFFFF"/>
            <w:tcMar>
              <w:top w:w="100" w:type="dxa"/>
              <w:bottom w:w="100" w:type="dxa"/>
              <w:left w:w="140" w:type="dxa"/>
              <w:right w:w="140" w:type="dxa"/>
            </w:tcMar>
          </w:tcPr>
          <w:p>
            <w:pPr>
              <w:spacing w:after="0"/>
              <w:jc w:val="left"/>
            </w:pPr>
            <w:r>
              <w:rPr>
                <w:color w:val="1E293B"/>
                <w:sz w:val="19"/>
              </w:rPr>
              <w:t>16.52%</w:t>
            </w:r>
          </w:p>
        </w:tc>
      </w:tr>
      <w:tr>
        <w:tc>
          <w:tcPr>
            <w:tcW w:type="dxa" w:w="1872"/>
            <w:shd w:fill="F8FAFC"/>
            <w:tcMar>
              <w:top w:w="100" w:type="dxa"/>
              <w:bottom w:w="100" w:type="dxa"/>
              <w:left w:w="140" w:type="dxa"/>
              <w:right w:w="140" w:type="dxa"/>
            </w:tcMar>
          </w:tcPr>
          <w:p>
            <w:pPr>
              <w:spacing w:after="0"/>
              <w:jc w:val="left"/>
            </w:pPr>
            <w:r>
              <w:rPr>
                <w:color w:val="1E293B"/>
                <w:sz w:val="19"/>
              </w:rPr>
              <w:t>Level 4 — Very High</w:t>
            </w:r>
          </w:p>
        </w:tc>
        <w:tc>
          <w:tcPr>
            <w:tcW w:type="dxa" w:w="1872"/>
            <w:shd w:fill="F8FAFC"/>
            <w:tcMar>
              <w:top w:w="100" w:type="dxa"/>
              <w:bottom w:w="100" w:type="dxa"/>
              <w:left w:w="140" w:type="dxa"/>
              <w:right w:w="140" w:type="dxa"/>
            </w:tcMar>
          </w:tcPr>
          <w:p>
            <w:pPr>
              <w:spacing w:after="0"/>
              <w:jc w:val="left"/>
            </w:pPr>
            <w:r>
              <w:rPr>
                <w:color w:val="1E293B"/>
                <w:sz w:val="19"/>
              </w:rPr>
              <w:t>459</w:t>
            </w:r>
          </w:p>
        </w:tc>
        <w:tc>
          <w:tcPr>
            <w:tcW w:type="dxa" w:w="1872"/>
            <w:shd w:fill="F8FAFC"/>
            <w:tcMar>
              <w:top w:w="100" w:type="dxa"/>
              <w:bottom w:w="100" w:type="dxa"/>
              <w:left w:w="140" w:type="dxa"/>
              <w:right w:w="140" w:type="dxa"/>
            </w:tcMar>
          </w:tcPr>
          <w:p>
            <w:pPr>
              <w:spacing w:after="0"/>
              <w:jc w:val="left"/>
            </w:pPr>
            <w:r>
              <w:rPr>
                <w:color w:val="1E293B"/>
                <w:sz w:val="19"/>
              </w:rPr>
              <w:t>407</w:t>
            </w:r>
          </w:p>
        </w:tc>
        <w:tc>
          <w:tcPr>
            <w:tcW w:type="dxa" w:w="1872"/>
            <w:shd w:fill="F8FAFC"/>
            <w:tcMar>
              <w:top w:w="100" w:type="dxa"/>
              <w:bottom w:w="100" w:type="dxa"/>
              <w:left w:w="140" w:type="dxa"/>
              <w:right w:w="140" w:type="dxa"/>
            </w:tcMar>
          </w:tcPr>
          <w:p>
            <w:pPr>
              <w:spacing w:after="0"/>
              <w:jc w:val="left"/>
            </w:pPr>
            <w:r>
              <w:rPr>
                <w:color w:val="1E293B"/>
                <w:sz w:val="19"/>
              </w:rPr>
              <w:t>52</w:t>
            </w:r>
          </w:p>
        </w:tc>
        <w:tc>
          <w:tcPr>
            <w:tcW w:type="dxa" w:w="1872"/>
            <w:shd w:fill="F8FAFC"/>
            <w:tcMar>
              <w:top w:w="100" w:type="dxa"/>
              <w:bottom w:w="100" w:type="dxa"/>
              <w:left w:w="140" w:type="dxa"/>
              <w:right w:w="140" w:type="dxa"/>
            </w:tcMar>
          </w:tcPr>
          <w:p>
            <w:pPr>
              <w:spacing w:after="0"/>
              <w:jc w:val="left"/>
            </w:pPr>
            <w:r>
              <w:rPr>
                <w:color w:val="1E293B"/>
                <w:sz w:val="19"/>
              </w:rPr>
              <w:t>11.33% [-50% Drop]</w:t>
            </w:r>
          </w:p>
        </w:tc>
      </w:tr>
    </w:tbl>
    <w:p>
      <w:pPr>
        <w:pStyle w:val="Heading2"/>
        <w:keepNext/>
        <w:spacing w:before="280" w:after="120"/>
      </w:pPr>
      <w:r>
        <w:rPr>
          <w:b/>
          <w:color w:val="1E40AF"/>
          <w:sz w:val="26"/>
        </w:rPr>
        <w:t>4.3 Primary Trigger #3: Demographic &amp; Marital Mobility</w:t>
      </w:r>
    </w:p>
    <w:p>
      <w:pPr>
        <w:spacing w:before="0" w:after="120" w:line="276" w:lineRule="auto"/>
      </w:pPr>
      <w:r>
        <w:rPr>
          <w:rFonts w:ascii="Calibri" w:hAnsi="Calibri"/>
          <w:color w:val="1E293B"/>
          <w:sz w:val="21"/>
        </w:rPr>
        <w:t>Marital status acts as a powerful proxy for domestic stability and career mobility. Single employees exhibit an attrition rate of 25.53% (120 exits out of 470), compared to 12.48% for Married personnel (84 exits out of 673) and 10.09% for Divorced personnel (33 exits out of 327). Single professionals demonstrate 2.2x higher career mobility.</w:t>
      </w:r>
    </w:p>
    <w:p>
      <w:pPr>
        <w:pStyle w:val="Heading2"/>
        <w:keepNext/>
        <w:spacing w:before="280" w:after="120"/>
      </w:pPr>
      <w:r>
        <w:rPr>
          <w:b/>
          <w:color w:val="1E40AF"/>
          <w:sz w:val="26"/>
        </w:rPr>
        <w:t>4.4 Departmental &amp; Job Role Risk Concentrations</w:t>
      </w:r>
    </w:p>
    <w:p>
      <w:pPr>
        <w:spacing w:before="0" w:after="120" w:line="276" w:lineRule="auto"/>
      </w:pPr>
      <w:r>
        <w:rPr>
          <w:rFonts w:ascii="Calibri" w:hAnsi="Calibri"/>
          <w:color w:val="1E293B"/>
          <w:sz w:val="21"/>
        </w:rPr>
        <w:t>Departmental segmentation isolates Sales as the highest risk department (20.63% attrition, 92 exits), followed by Human Resources (19.05% attrition, 12 exits), and Research &amp; Development (13.84% attrition, 133 exits). At the granular role level, Sales Representatives suffer the enterprise peak at 39.76% attrition (33 exits out of 83), followed by Laboratory Technicians at 23.94% (62 exits out of 259) and Human Resources Associates at 23.08%.</w:t>
      </w:r>
    </w:p>
    <w:p>
      <w:r>
        <w:br w:type="page"/>
      </w:r>
    </w:p>
    <w:p>
      <w:pPr>
        <w:pStyle w:val="Heading1"/>
        <w:keepNext/>
        <w:spacing w:before="280" w:after="120"/>
      </w:pPr>
      <w:r>
        <w:rPr>
          <w:b/>
          <w:color w:val="0F2557"/>
          <w:sz w:val="32"/>
        </w:rPr>
        <w:t>5.0 CRISP-DM Phase 3: Data Preprocessing &amp; Feature Engineering Pipeline</w:t>
      </w:r>
    </w:p>
    <w:p>
      <w:pPr>
        <w:spacing w:before="0" w:after="120" w:line="276" w:lineRule="auto"/>
      </w:pPr>
      <w:r>
        <w:rPr>
          <w:rFonts w:ascii="Calibri" w:hAnsi="Calibri"/>
          <w:color w:val="1E293B"/>
          <w:sz w:val="21"/>
        </w:rPr>
        <w:t>Phase 3 transforms raw tabular attributes into an optimized, standardized numeric feature matrix ready for machine learning model ingestion, ensuring zero data leakage and proper class balance calibration.</w:t>
      </w:r>
    </w:p>
    <w:p>
      <w:pPr>
        <w:pStyle w:val="Heading2"/>
        <w:keepNext/>
        <w:spacing w:before="280" w:after="120"/>
      </w:pPr>
      <w:r>
        <w:rPr>
          <w:b/>
          <w:color w:val="1E40AF"/>
          <w:sz w:val="26"/>
        </w:rPr>
        <w:t>5.1 Feature Auditing &amp; Constant Column Pruning</w:t>
      </w:r>
    </w:p>
    <w:p>
      <w:pPr>
        <w:spacing w:before="0" w:after="120" w:line="276" w:lineRule="auto"/>
      </w:pPr>
      <w:r>
        <w:rPr>
          <w:rFonts w:ascii="Calibri" w:hAnsi="Calibri"/>
          <w:color w:val="1E293B"/>
          <w:sz w:val="21"/>
        </w:rPr>
        <w:t>Features containing zero variance across all 1,470 samples provide zero predictive entropy and were systematically pruned to reduce dimensionality:</w:t>
        <w:br/>
        <w:t>• `Over18`: Invariant constant ('Y' across 100% of rows).</w:t>
        <w:br/>
        <w:t>• `StandardHours`: Invariant constant (80 hours across 100% of rows).</w:t>
        <w:br/>
        <w:t>• `EmployeeCount`: Invariant constant (1 across 100% of rows).</w:t>
        <w:br/>
        <w:t>• `EmployeeNumber`: Arbitrary sequential database identifier excluded to eliminate indexing leakage.</w:t>
      </w:r>
    </w:p>
    <w:p>
      <w:pPr>
        <w:pStyle w:val="Heading2"/>
        <w:keepNext/>
        <w:spacing w:before="280" w:after="120"/>
      </w:pPr>
      <w:r>
        <w:rPr>
          <w:b/>
          <w:color w:val="1E40AF"/>
          <w:sz w:val="26"/>
        </w:rPr>
        <w:t>5.2 Encoding Categorical &amp; Ordinal Dimensions</w:t>
      </w:r>
    </w:p>
    <w:p>
      <w:pPr>
        <w:spacing w:before="0" w:after="120" w:line="276" w:lineRule="auto"/>
      </w:pPr>
      <w:r>
        <w:rPr>
          <w:rFonts w:ascii="Calibri" w:hAnsi="Calibri"/>
          <w:color w:val="1E293B"/>
          <w:sz w:val="21"/>
        </w:rPr>
        <w:t>1. Binary Mapping: Target variable `Attrition` mapped to {Yes: 1, No: 0}. Binary features `OverTime` mapped to {Yes: 1, No: 0} and `Gender` mapped to {Male: 1, Female: 0}.</w:t>
        <w:br/>
        <w:t>2. Ordinal Scale Preservation: Native numeric ranks (1 to 4) preserved for `EnvironmentSatisfaction`, `JobSatisfaction`, `WorkLifeBalance`, `JobInvolvement`, `PerformanceRating`, `Education`, and `StockOptionLevel` (0 to 3).</w:t>
        <w:br/>
        <w:t>3. Nominal One-Hot Transformations: One-hot dummy encoding applied to non-ordinal categorical variables: `Department` (3 levels), `JobRole` (9 levels), `EducationField` (6 levels), `MaritalStatus` (3 levels), and `BusinessTravel` (3 levels), expanding the feature space to 48 numeric columns.</w:t>
      </w:r>
    </w:p>
    <w:p>
      <w:pPr>
        <w:pStyle w:val="Heading2"/>
        <w:keepNext/>
        <w:spacing w:before="280" w:after="120"/>
      </w:pPr>
      <w:r>
        <w:rPr>
          <w:b/>
          <w:color w:val="1E40AF"/>
          <w:sz w:val="26"/>
        </w:rPr>
        <w:t>5.3 Resolving Severe Target Class Imbalance</w:t>
      </w:r>
    </w:p>
    <w:p>
      <w:pPr>
        <w:spacing w:before="0" w:after="120" w:line="276" w:lineRule="auto"/>
      </w:pPr>
      <w:r>
        <w:rPr>
          <w:rFonts w:ascii="Calibri" w:hAnsi="Calibri"/>
          <w:color w:val="1E293B"/>
          <w:sz w:val="21"/>
        </w:rPr>
        <w:t>The target variable exhibits an 83.88% (negative) to 16.12% (positive) class imbalance. Standard unweighted classification algorithms would converge on majority-class bias, generating deceptively high overall accuracy while failing completely on minority-class exit recall.</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E40AF"/>
              <w:bottom w:val="none"/>
              <w:right w:val="none"/>
            </w:tcBorders>
          </w:tcPr>
          <w:p>
            <w:pPr>
              <w:spacing w:after="60"/>
            </w:pPr>
            <w:r>
              <w:rPr>
                <w:b/>
                <w:color w:val="0F2557"/>
                <w:sz w:val="21"/>
              </w:rPr>
              <w:t>Inverse Frequency Class Weighting Formulation</w:t>
              <w:br/>
            </w:r>
            <w:r>
              <w:rPr>
                <w:color w:val="334155"/>
                <w:sz w:val="20"/>
              </w:rPr>
              <w:t>Weight for Class j (w_j) = N_total / (2 × N_j)</w:t>
              <w:br/>
              <w:br/>
              <w:t>Weight for Attrition=1 (w_1) = 1,470 / (2 × 237) = 3.101</w:t>
              <w:br/>
              <w:t>Weight for Retained=0 (w_0) = 1,470 / (2 × 1,233) = 0.596</w:t>
              <w:br/>
              <w:br/>
              <w:t>This penalty structure heavily penalizes false negative predictions (missed exits), driving the model to achieve high sensitivity on actual flight risks.</w:t>
            </w:r>
          </w:p>
        </w:tc>
      </w:tr>
    </w:tbl>
    <w:p>
      <w:pPr>
        <w:spacing w:before="0" w:after="120"/>
      </w:pPr>
    </w:p>
    <w:p>
      <w:pPr>
        <w:pStyle w:val="Heading2"/>
        <w:keepNext/>
        <w:spacing w:before="280" w:after="120"/>
      </w:pPr>
      <w:r>
        <w:rPr>
          <w:b/>
          <w:color w:val="1E40AF"/>
          <w:sz w:val="26"/>
        </w:rPr>
        <w:t>5.4 Stratified Partitioning Strategy</w:t>
      </w:r>
    </w:p>
    <w:p>
      <w:pPr>
        <w:spacing w:before="0" w:after="120" w:line="276" w:lineRule="auto"/>
      </w:pPr>
      <w:r>
        <w:rPr>
          <w:rFonts w:ascii="Calibri" w:hAnsi="Calibri"/>
          <w:color w:val="1E293B"/>
          <w:sz w:val="21"/>
        </w:rPr>
        <w:t>To evaluate real-world generalization, the dataset was partitioned using a Stratified 80/20 Train-Test Split with a fixed seed (random_state=42):</w:t>
        <w:br/>
        <w:t>• Training Partition: 1,176 records (986 Retained, 190 Departures — exact 16.12% positive balance).</w:t>
        <w:br/>
        <w:t>• Holdout Test Partition: 294 records (247 Retained, 47 Departures — exact 16.12% positive balance).</w:t>
      </w:r>
    </w:p>
    <w:p>
      <w:r>
        <w:br w:type="page"/>
      </w:r>
    </w:p>
    <w:p>
      <w:pPr>
        <w:pStyle w:val="Heading1"/>
        <w:keepNext/>
        <w:spacing w:before="280" w:after="120"/>
      </w:pPr>
      <w:r>
        <w:rPr>
          <w:b/>
          <w:color w:val="0F2557"/>
          <w:sz w:val="32"/>
        </w:rPr>
        <w:t>6.0 CRISP-DM Phase 4: Machine Learning Model Architecture &amp; Algorithms</w:t>
      </w:r>
    </w:p>
    <w:p>
      <w:pPr>
        <w:spacing w:before="0" w:after="120" w:line="276" w:lineRule="auto"/>
      </w:pPr>
      <w:r>
        <w:rPr>
          <w:rFonts w:ascii="Calibri" w:hAnsi="Calibri"/>
          <w:color w:val="1E293B"/>
          <w:sz w:val="21"/>
        </w:rPr>
        <w:t>In Phase 4, two supervised binary classification architectures were constructed, tuned, and compared: an L2-Regularized Logistic Regression baseline and an ensembled Random Forest Classifier.</w:t>
      </w:r>
    </w:p>
    <w:p>
      <w:pPr>
        <w:pStyle w:val="Heading2"/>
        <w:keepNext/>
        <w:spacing w:before="280" w:after="120"/>
      </w:pPr>
      <w:r>
        <w:rPr>
          <w:b/>
          <w:color w:val="1E40AF"/>
          <w:sz w:val="26"/>
        </w:rPr>
        <w:t>6.1 Baseline Architecture: Regularized Logistic Regression</w:t>
      </w:r>
    </w:p>
    <w:p>
      <w:pPr>
        <w:spacing w:before="0" w:after="120" w:line="276" w:lineRule="auto"/>
      </w:pPr>
      <w:r>
        <w:rPr>
          <w:rFonts w:ascii="Calibri" w:hAnsi="Calibri"/>
          <w:color w:val="1E293B"/>
          <w:sz w:val="21"/>
        </w:rPr>
        <w:t>The baseline model establishes a linear decision boundary using log-odds optimization. It provides interpretable odds ratios but struggles to capture complex non-linear feature interactions (e.g., tenure × salary × overtime co-dependencies):</w:t>
        <w:br/>
        <w:t>• Optimization Objective: Minimize cross-entropy loss with L2 ridge penalty: min_w { -∑ [y_i log(p_i) + (1-y_i) log(1-p_i)] + λ ||w||_2^2 }</w:t>
        <w:br/>
        <w:t>• Solver: Limited-memory BFGS ('lbfgs'), Max Iterations: 1,000, Class Weight: 'balanced'.</w:t>
      </w:r>
    </w:p>
    <w:p>
      <w:pPr>
        <w:pStyle w:val="Heading2"/>
        <w:keepNext/>
        <w:spacing w:before="280" w:after="120"/>
      </w:pPr>
      <w:r>
        <w:rPr>
          <w:b/>
          <w:color w:val="1E40AF"/>
          <w:sz w:val="26"/>
        </w:rPr>
        <w:t>6.2 Champion Architecture: Ensembled Random Forest Classifier</w:t>
      </w:r>
    </w:p>
    <w:p>
      <w:pPr>
        <w:spacing w:before="0" w:after="120" w:line="276" w:lineRule="auto"/>
      </w:pPr>
      <w:r>
        <w:rPr>
          <w:rFonts w:ascii="Calibri" w:hAnsi="Calibri"/>
          <w:color w:val="1E293B"/>
          <w:sz w:val="21"/>
        </w:rPr>
        <w:t>The Random Forest Classifier was chosen as the champion architecture due to its superior capacity to model non-linear decision thresholds, high resilience to multicollinearity, and built-in bagging variance reduction.</w:t>
      </w:r>
    </w:p>
    <w:tbl>
      <w:tblPr>
        <w:tblW w:type="auto" w:w="0"/>
        <w:jc w:val="center"/>
        <w:tblLook w:firstColumn="1" w:firstRow="1" w:lastColumn="0" w:lastRow="0" w:noHBand="0" w:noVBand="1" w:val="04A0"/>
      </w:tblPr>
      <w:tblGrid>
        <w:gridCol w:w="3120"/>
        <w:gridCol w:w="3120"/>
        <w:gridCol w:w="3120"/>
      </w:tblGrid>
      <w:tr>
        <w:tc>
          <w:tcPr>
            <w:tcW w:type="dxa" w:w="3120"/>
            <w:shd w:fill="0F2557"/>
            <w:tcMar>
              <w:top w:w="120" w:type="dxa"/>
              <w:bottom w:w="120" w:type="dxa"/>
              <w:left w:w="140" w:type="dxa"/>
              <w:right w:w="140" w:type="dxa"/>
            </w:tcMar>
          </w:tcPr>
          <w:p>
            <w:pPr>
              <w:spacing w:after="0"/>
              <w:jc w:val="left"/>
            </w:pPr>
            <w:r>
              <w:rPr>
                <w:b/>
                <w:color w:val="FFFFFF"/>
                <w:sz w:val="20"/>
              </w:rPr>
              <w:t>Hyperparameter</w:t>
            </w:r>
          </w:p>
        </w:tc>
        <w:tc>
          <w:tcPr>
            <w:tcW w:type="dxa" w:w="3120"/>
            <w:shd w:fill="0F2557"/>
            <w:tcMar>
              <w:top w:w="120" w:type="dxa"/>
              <w:bottom w:w="120" w:type="dxa"/>
              <w:left w:w="140" w:type="dxa"/>
              <w:right w:w="140" w:type="dxa"/>
            </w:tcMar>
          </w:tcPr>
          <w:p>
            <w:pPr>
              <w:spacing w:after="0"/>
              <w:jc w:val="left"/>
            </w:pPr>
            <w:r>
              <w:rPr>
                <w:b/>
                <w:color w:val="FFFFFF"/>
                <w:sz w:val="20"/>
              </w:rPr>
              <w:t>Configured Value</w:t>
            </w:r>
          </w:p>
        </w:tc>
        <w:tc>
          <w:tcPr>
            <w:tcW w:type="dxa" w:w="3120"/>
            <w:shd w:fill="0F2557"/>
            <w:tcMar>
              <w:top w:w="120" w:type="dxa"/>
              <w:bottom w:w="120" w:type="dxa"/>
              <w:left w:w="140" w:type="dxa"/>
              <w:right w:w="140" w:type="dxa"/>
            </w:tcMar>
          </w:tcPr>
          <w:p>
            <w:pPr>
              <w:spacing w:after="0"/>
              <w:jc w:val="left"/>
            </w:pPr>
            <w:r>
              <w:rPr>
                <w:b/>
                <w:color w:val="FFFFFF"/>
                <w:sz w:val="20"/>
              </w:rPr>
              <w:t>Technical Rationale &amp; Design Decision</w:t>
            </w:r>
          </w:p>
        </w:tc>
      </w:tr>
      <w:tr>
        <w:tc>
          <w:tcPr>
            <w:tcW w:type="dxa" w:w="2592"/>
            <w:shd w:fill="FFFFFF"/>
            <w:tcMar>
              <w:top w:w="100" w:type="dxa"/>
              <w:bottom w:w="100" w:type="dxa"/>
              <w:left w:w="140" w:type="dxa"/>
              <w:right w:w="140" w:type="dxa"/>
            </w:tcMar>
          </w:tcPr>
          <w:p>
            <w:pPr>
              <w:spacing w:after="0"/>
              <w:jc w:val="left"/>
            </w:pPr>
            <w:r>
              <w:rPr>
                <w:color w:val="1E293B"/>
                <w:sz w:val="19"/>
              </w:rPr>
              <w:t>n_estimators</w:t>
            </w:r>
          </w:p>
        </w:tc>
        <w:tc>
          <w:tcPr>
            <w:tcW w:type="dxa" w:w="2016"/>
            <w:shd w:fill="FFFFFF"/>
            <w:tcMar>
              <w:top w:w="100" w:type="dxa"/>
              <w:bottom w:w="100" w:type="dxa"/>
              <w:left w:w="140" w:type="dxa"/>
              <w:right w:w="140" w:type="dxa"/>
            </w:tcMar>
          </w:tcPr>
          <w:p>
            <w:pPr>
              <w:spacing w:after="0"/>
              <w:jc w:val="left"/>
            </w:pPr>
            <w:r>
              <w:rPr>
                <w:color w:val="1E293B"/>
                <w:sz w:val="19"/>
              </w:rPr>
              <w:t>100 Trees</w:t>
            </w:r>
          </w:p>
        </w:tc>
        <w:tc>
          <w:tcPr>
            <w:tcW w:type="dxa" w:w="4752"/>
            <w:shd w:fill="FFFFFF"/>
            <w:tcMar>
              <w:top w:w="100" w:type="dxa"/>
              <w:bottom w:w="100" w:type="dxa"/>
              <w:left w:w="140" w:type="dxa"/>
              <w:right w:w="140" w:type="dxa"/>
            </w:tcMar>
          </w:tcPr>
          <w:p>
            <w:pPr>
              <w:spacing w:after="0"/>
              <w:jc w:val="left"/>
            </w:pPr>
            <w:r>
              <w:rPr>
                <w:color w:val="1E293B"/>
                <w:sz w:val="19"/>
              </w:rPr>
              <w:t>Provides stable ensemble convergence and reduces bagging variance.</w:t>
            </w:r>
          </w:p>
        </w:tc>
      </w:tr>
      <w:tr>
        <w:tc>
          <w:tcPr>
            <w:tcW w:type="dxa" w:w="2592"/>
            <w:shd w:fill="F8FAFC"/>
            <w:tcMar>
              <w:top w:w="100" w:type="dxa"/>
              <w:bottom w:w="100" w:type="dxa"/>
              <w:left w:w="140" w:type="dxa"/>
              <w:right w:w="140" w:type="dxa"/>
            </w:tcMar>
          </w:tcPr>
          <w:p>
            <w:pPr>
              <w:spacing w:after="0"/>
              <w:jc w:val="left"/>
            </w:pPr>
            <w:r>
              <w:rPr>
                <w:color w:val="1E293B"/>
                <w:sz w:val="19"/>
              </w:rPr>
              <w:t>max_depth</w:t>
            </w:r>
          </w:p>
        </w:tc>
        <w:tc>
          <w:tcPr>
            <w:tcW w:type="dxa" w:w="2016"/>
            <w:shd w:fill="F8FAFC"/>
            <w:tcMar>
              <w:top w:w="100" w:type="dxa"/>
              <w:bottom w:w="100" w:type="dxa"/>
              <w:left w:w="140" w:type="dxa"/>
              <w:right w:w="140" w:type="dxa"/>
            </w:tcMar>
          </w:tcPr>
          <w:p>
            <w:pPr>
              <w:spacing w:after="0"/>
              <w:jc w:val="left"/>
            </w:pPr>
            <w:r>
              <w:rPr>
                <w:color w:val="1E293B"/>
                <w:sz w:val="19"/>
              </w:rPr>
              <w:t>8 Levels</w:t>
            </w:r>
          </w:p>
        </w:tc>
        <w:tc>
          <w:tcPr>
            <w:tcW w:type="dxa" w:w="4752"/>
            <w:shd w:fill="F8FAFC"/>
            <w:tcMar>
              <w:top w:w="100" w:type="dxa"/>
              <w:bottom w:w="100" w:type="dxa"/>
              <w:left w:w="140" w:type="dxa"/>
              <w:right w:w="140" w:type="dxa"/>
            </w:tcMar>
          </w:tcPr>
          <w:p>
            <w:pPr>
              <w:spacing w:after="0"/>
              <w:jc w:val="left"/>
            </w:pPr>
            <w:r>
              <w:rPr>
                <w:color w:val="1E293B"/>
                <w:sz w:val="19"/>
              </w:rPr>
              <w:t>Constrains tree depth to prevent memorization of training sample noise.</w:t>
            </w:r>
          </w:p>
        </w:tc>
      </w:tr>
      <w:tr>
        <w:tc>
          <w:tcPr>
            <w:tcW w:type="dxa" w:w="2592"/>
            <w:shd w:fill="FFFFFF"/>
            <w:tcMar>
              <w:top w:w="100" w:type="dxa"/>
              <w:bottom w:w="100" w:type="dxa"/>
              <w:left w:w="140" w:type="dxa"/>
              <w:right w:w="140" w:type="dxa"/>
            </w:tcMar>
          </w:tcPr>
          <w:p>
            <w:pPr>
              <w:spacing w:after="0"/>
              <w:jc w:val="left"/>
            </w:pPr>
            <w:r>
              <w:rPr>
                <w:color w:val="1E293B"/>
                <w:sz w:val="19"/>
              </w:rPr>
              <w:t>min_samples_split</w:t>
            </w:r>
          </w:p>
        </w:tc>
        <w:tc>
          <w:tcPr>
            <w:tcW w:type="dxa" w:w="2016"/>
            <w:shd w:fill="FFFFFF"/>
            <w:tcMar>
              <w:top w:w="100" w:type="dxa"/>
              <w:bottom w:w="100" w:type="dxa"/>
              <w:left w:w="140" w:type="dxa"/>
              <w:right w:w="140" w:type="dxa"/>
            </w:tcMar>
          </w:tcPr>
          <w:p>
            <w:pPr>
              <w:spacing w:after="0"/>
              <w:jc w:val="left"/>
            </w:pPr>
            <w:r>
              <w:rPr>
                <w:color w:val="1E293B"/>
                <w:sz w:val="19"/>
              </w:rPr>
              <w:t>5 Samples</w:t>
            </w:r>
          </w:p>
        </w:tc>
        <w:tc>
          <w:tcPr>
            <w:tcW w:type="dxa" w:w="4752"/>
            <w:shd w:fill="FFFFFF"/>
            <w:tcMar>
              <w:top w:w="100" w:type="dxa"/>
              <w:bottom w:w="100" w:type="dxa"/>
              <w:left w:w="140" w:type="dxa"/>
              <w:right w:w="140" w:type="dxa"/>
            </w:tcMar>
          </w:tcPr>
          <w:p>
            <w:pPr>
              <w:spacing w:after="0"/>
              <w:jc w:val="left"/>
            </w:pPr>
            <w:r>
              <w:rPr>
                <w:color w:val="1E293B"/>
                <w:sz w:val="19"/>
              </w:rPr>
              <w:t>Enforces minimum node size before partitioning to improve generalization.</w:t>
            </w:r>
          </w:p>
        </w:tc>
      </w:tr>
      <w:tr>
        <w:tc>
          <w:tcPr>
            <w:tcW w:type="dxa" w:w="2592"/>
            <w:shd w:fill="F8FAFC"/>
            <w:tcMar>
              <w:top w:w="100" w:type="dxa"/>
              <w:bottom w:w="100" w:type="dxa"/>
              <w:left w:w="140" w:type="dxa"/>
              <w:right w:w="140" w:type="dxa"/>
            </w:tcMar>
          </w:tcPr>
          <w:p>
            <w:pPr>
              <w:spacing w:after="0"/>
              <w:jc w:val="left"/>
            </w:pPr>
            <w:r>
              <w:rPr>
                <w:color w:val="1E293B"/>
                <w:sz w:val="19"/>
              </w:rPr>
              <w:t>min_samples_leaf</w:t>
            </w:r>
          </w:p>
        </w:tc>
        <w:tc>
          <w:tcPr>
            <w:tcW w:type="dxa" w:w="2016"/>
            <w:shd w:fill="F8FAFC"/>
            <w:tcMar>
              <w:top w:w="100" w:type="dxa"/>
              <w:bottom w:w="100" w:type="dxa"/>
              <w:left w:w="140" w:type="dxa"/>
              <w:right w:w="140" w:type="dxa"/>
            </w:tcMar>
          </w:tcPr>
          <w:p>
            <w:pPr>
              <w:spacing w:after="0"/>
              <w:jc w:val="left"/>
            </w:pPr>
            <w:r>
              <w:rPr>
                <w:color w:val="1E293B"/>
                <w:sz w:val="19"/>
              </w:rPr>
              <w:t>2 Samples</w:t>
            </w:r>
          </w:p>
        </w:tc>
        <w:tc>
          <w:tcPr>
            <w:tcW w:type="dxa" w:w="4752"/>
            <w:shd w:fill="F8FAFC"/>
            <w:tcMar>
              <w:top w:w="100" w:type="dxa"/>
              <w:bottom w:w="100" w:type="dxa"/>
              <w:left w:w="140" w:type="dxa"/>
              <w:right w:w="140" w:type="dxa"/>
            </w:tcMar>
          </w:tcPr>
          <w:p>
            <w:pPr>
              <w:spacing w:after="0"/>
              <w:jc w:val="left"/>
            </w:pPr>
            <w:r>
              <w:rPr>
                <w:color w:val="1E293B"/>
                <w:sz w:val="19"/>
              </w:rPr>
              <w:t>Guarantees terminal leaf statistical validity and prevents outlier leaf nodes.</w:t>
            </w:r>
          </w:p>
        </w:tc>
      </w:tr>
      <w:tr>
        <w:tc>
          <w:tcPr>
            <w:tcW w:type="dxa" w:w="2592"/>
            <w:shd w:fill="FFFFFF"/>
            <w:tcMar>
              <w:top w:w="100" w:type="dxa"/>
              <w:bottom w:w="100" w:type="dxa"/>
              <w:left w:w="140" w:type="dxa"/>
              <w:right w:w="140" w:type="dxa"/>
            </w:tcMar>
          </w:tcPr>
          <w:p>
            <w:pPr>
              <w:spacing w:after="0"/>
              <w:jc w:val="left"/>
            </w:pPr>
            <w:r>
              <w:rPr>
                <w:color w:val="1E293B"/>
                <w:sz w:val="19"/>
              </w:rPr>
              <w:t>criterion</w:t>
            </w:r>
          </w:p>
        </w:tc>
        <w:tc>
          <w:tcPr>
            <w:tcW w:type="dxa" w:w="2016"/>
            <w:shd w:fill="FFFFFF"/>
            <w:tcMar>
              <w:top w:w="100" w:type="dxa"/>
              <w:bottom w:w="100" w:type="dxa"/>
              <w:left w:w="140" w:type="dxa"/>
              <w:right w:w="140" w:type="dxa"/>
            </w:tcMar>
          </w:tcPr>
          <w:p>
            <w:pPr>
              <w:spacing w:after="0"/>
              <w:jc w:val="left"/>
            </w:pPr>
            <w:r>
              <w:rPr>
                <w:color w:val="1E293B"/>
                <w:sz w:val="19"/>
              </w:rPr>
              <w:t>'gini'</w:t>
            </w:r>
          </w:p>
        </w:tc>
        <w:tc>
          <w:tcPr>
            <w:tcW w:type="dxa" w:w="4752"/>
            <w:shd w:fill="FFFFFF"/>
            <w:tcMar>
              <w:top w:w="100" w:type="dxa"/>
              <w:bottom w:w="100" w:type="dxa"/>
              <w:left w:w="140" w:type="dxa"/>
              <w:right w:w="140" w:type="dxa"/>
            </w:tcMar>
          </w:tcPr>
          <w:p>
            <w:pPr>
              <w:spacing w:after="0"/>
              <w:jc w:val="left"/>
            </w:pPr>
            <w:r>
              <w:rPr>
                <w:color w:val="1E293B"/>
                <w:sz w:val="19"/>
              </w:rPr>
              <w:t>Measures split purity via Gini Impurity reduction: I_G(p) = 1 - ∑ p_i^2.</w:t>
            </w:r>
          </w:p>
        </w:tc>
      </w:tr>
      <w:tr>
        <w:tc>
          <w:tcPr>
            <w:tcW w:type="dxa" w:w="2592"/>
            <w:shd w:fill="F8FAFC"/>
            <w:tcMar>
              <w:top w:w="100" w:type="dxa"/>
              <w:bottom w:w="100" w:type="dxa"/>
              <w:left w:w="140" w:type="dxa"/>
              <w:right w:w="140" w:type="dxa"/>
            </w:tcMar>
          </w:tcPr>
          <w:p>
            <w:pPr>
              <w:spacing w:after="0"/>
              <w:jc w:val="left"/>
            </w:pPr>
            <w:r>
              <w:rPr>
                <w:color w:val="1E293B"/>
                <w:sz w:val="19"/>
              </w:rPr>
              <w:t>class_weight</w:t>
            </w:r>
          </w:p>
        </w:tc>
        <w:tc>
          <w:tcPr>
            <w:tcW w:type="dxa" w:w="2016"/>
            <w:shd w:fill="F8FAFC"/>
            <w:tcMar>
              <w:top w:w="100" w:type="dxa"/>
              <w:bottom w:w="100" w:type="dxa"/>
              <w:left w:w="140" w:type="dxa"/>
              <w:right w:w="140" w:type="dxa"/>
            </w:tcMar>
          </w:tcPr>
          <w:p>
            <w:pPr>
              <w:spacing w:after="0"/>
              <w:jc w:val="left"/>
            </w:pPr>
            <w:r>
              <w:rPr>
                <w:color w:val="1E293B"/>
                <w:sz w:val="19"/>
              </w:rPr>
              <w:t>'balanced'</w:t>
            </w:r>
          </w:p>
        </w:tc>
        <w:tc>
          <w:tcPr>
            <w:tcW w:type="dxa" w:w="4752"/>
            <w:shd w:fill="F8FAFC"/>
            <w:tcMar>
              <w:top w:w="100" w:type="dxa"/>
              <w:bottom w:w="100" w:type="dxa"/>
              <w:left w:w="140" w:type="dxa"/>
              <w:right w:w="140" w:type="dxa"/>
            </w:tcMar>
          </w:tcPr>
          <w:p>
            <w:pPr>
              <w:spacing w:after="0"/>
              <w:jc w:val="left"/>
            </w:pPr>
            <w:r>
              <w:rPr>
                <w:color w:val="1E293B"/>
                <w:sz w:val="19"/>
              </w:rPr>
              <w:t>Applies automated inverse class weighting (w_1=3.10, w_0=0.60).</w:t>
            </w:r>
          </w:p>
        </w:tc>
      </w:tr>
      <w:tr>
        <w:tc>
          <w:tcPr>
            <w:tcW w:type="dxa" w:w="2592"/>
            <w:shd w:fill="FFFFFF"/>
            <w:tcMar>
              <w:top w:w="100" w:type="dxa"/>
              <w:bottom w:w="100" w:type="dxa"/>
              <w:left w:w="140" w:type="dxa"/>
              <w:right w:w="140" w:type="dxa"/>
            </w:tcMar>
          </w:tcPr>
          <w:p>
            <w:pPr>
              <w:spacing w:after="0"/>
              <w:jc w:val="left"/>
            </w:pPr>
            <w:r>
              <w:rPr>
                <w:color w:val="1E293B"/>
                <w:sz w:val="19"/>
              </w:rPr>
              <w:t>random_state</w:t>
            </w:r>
          </w:p>
        </w:tc>
        <w:tc>
          <w:tcPr>
            <w:tcW w:type="dxa" w:w="2016"/>
            <w:shd w:fill="FFFFFF"/>
            <w:tcMar>
              <w:top w:w="100" w:type="dxa"/>
              <w:bottom w:w="100" w:type="dxa"/>
              <w:left w:w="140" w:type="dxa"/>
              <w:right w:w="140" w:type="dxa"/>
            </w:tcMar>
          </w:tcPr>
          <w:p>
            <w:pPr>
              <w:spacing w:after="0"/>
              <w:jc w:val="left"/>
            </w:pPr>
            <w:r>
              <w:rPr>
                <w:color w:val="1E293B"/>
                <w:sz w:val="19"/>
              </w:rPr>
              <w:t>42</w:t>
            </w:r>
          </w:p>
        </w:tc>
        <w:tc>
          <w:tcPr>
            <w:tcW w:type="dxa" w:w="4752"/>
            <w:shd w:fill="FFFFFF"/>
            <w:tcMar>
              <w:top w:w="100" w:type="dxa"/>
              <w:bottom w:w="100" w:type="dxa"/>
              <w:left w:w="140" w:type="dxa"/>
              <w:right w:w="140" w:type="dxa"/>
            </w:tcMar>
          </w:tcPr>
          <w:p>
            <w:pPr>
              <w:spacing w:after="0"/>
              <w:jc w:val="left"/>
            </w:pPr>
            <w:r>
              <w:rPr>
                <w:color w:val="1E293B"/>
                <w:sz w:val="19"/>
              </w:rPr>
              <w:t>Guarantees full deterministic reproducibility across evaluations.</w:t>
            </w:r>
          </w:p>
        </w:tc>
      </w:tr>
    </w:tbl>
    <w:p>
      <w:r>
        <w:br w:type="page"/>
      </w:r>
    </w:p>
    <w:p>
      <w:pPr>
        <w:pStyle w:val="Heading1"/>
        <w:keepNext/>
        <w:spacing w:before="280" w:after="120"/>
      </w:pPr>
      <w:r>
        <w:rPr>
          <w:b/>
          <w:color w:val="0F2557"/>
          <w:sz w:val="32"/>
        </w:rPr>
        <w:t>7.0 CRISP-DM Phase 5: Model Evaluation, Validation &amp; Explainable AI (XAI)</w:t>
      </w:r>
    </w:p>
    <w:p>
      <w:pPr>
        <w:spacing w:before="0" w:after="120" w:line="276" w:lineRule="auto"/>
      </w:pPr>
      <w:r>
        <w:rPr>
          <w:rFonts w:ascii="Calibri" w:hAnsi="Calibri"/>
          <w:color w:val="1E293B"/>
          <w:sz w:val="21"/>
        </w:rPr>
        <w:t>Model evaluation was performed on the independent 20% holdout test partition (N_test = 294) to assess out-of-sample generalization, precision-recall trade-offs, and feature attribution.</w:t>
      </w:r>
    </w:p>
    <w:p>
      <w:pPr>
        <w:pStyle w:val="Heading2"/>
        <w:keepNext/>
        <w:spacing w:before="280" w:after="120"/>
      </w:pPr>
      <w:r>
        <w:rPr>
          <w:b/>
          <w:color w:val="1E40AF"/>
          <w:sz w:val="26"/>
        </w:rPr>
        <w:t>7.1 Multi-Metric Performance Benchmarking</w:t>
      </w:r>
    </w:p>
    <w:p>
      <w:pPr>
        <w:spacing w:before="0" w:after="120" w:line="276" w:lineRule="auto"/>
      </w:pPr>
      <w:r>
        <w:rPr>
          <w:rFonts w:ascii="Calibri" w:hAnsi="Calibri"/>
          <w:color w:val="1E293B"/>
          <w:sz w:val="21"/>
        </w:rPr>
        <w:t>The Random Forest Classifier outperformed the Logistic Regression baseline across all five primary statistical evaluation metrics: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557"/>
            <w:tcMar>
              <w:top w:w="120" w:type="dxa"/>
              <w:bottom w:w="120" w:type="dxa"/>
              <w:left w:w="140" w:type="dxa"/>
              <w:right w:w="140" w:type="dxa"/>
            </w:tcMar>
          </w:tcPr>
          <w:p>
            <w:pPr>
              <w:spacing w:after="0"/>
              <w:jc w:val="left"/>
            </w:pPr>
            <w:r>
              <w:rPr>
                <w:b/>
                <w:color w:val="FFFFFF"/>
                <w:sz w:val="20"/>
              </w:rPr>
              <w:t>Evaluation Metric</w:t>
            </w:r>
          </w:p>
        </w:tc>
        <w:tc>
          <w:tcPr>
            <w:tcW w:type="dxa" w:w="1872"/>
            <w:shd w:fill="0F2557"/>
            <w:tcMar>
              <w:top w:w="120" w:type="dxa"/>
              <w:bottom w:w="120" w:type="dxa"/>
              <w:left w:w="140" w:type="dxa"/>
              <w:right w:w="140" w:type="dxa"/>
            </w:tcMar>
          </w:tcPr>
          <w:p>
            <w:pPr>
              <w:spacing w:after="0"/>
              <w:jc w:val="left"/>
            </w:pPr>
            <w:r>
              <w:rPr>
                <w:b/>
                <w:color w:val="FFFFFF"/>
                <w:sz w:val="20"/>
              </w:rPr>
              <w:t>Random Forest (Champion)</w:t>
            </w:r>
          </w:p>
        </w:tc>
        <w:tc>
          <w:tcPr>
            <w:tcW w:type="dxa" w:w="1872"/>
            <w:shd w:fill="0F2557"/>
            <w:tcMar>
              <w:top w:w="120" w:type="dxa"/>
              <w:bottom w:w="120" w:type="dxa"/>
              <w:left w:w="140" w:type="dxa"/>
              <w:right w:w="140" w:type="dxa"/>
            </w:tcMar>
          </w:tcPr>
          <w:p>
            <w:pPr>
              <w:spacing w:after="0"/>
              <w:jc w:val="left"/>
            </w:pPr>
            <w:r>
              <w:rPr>
                <w:b/>
                <w:color w:val="FFFFFF"/>
                <w:sz w:val="20"/>
              </w:rPr>
              <w:t>Logistic Regression (Baseline)</w:t>
            </w:r>
          </w:p>
        </w:tc>
        <w:tc>
          <w:tcPr>
            <w:tcW w:type="dxa" w:w="1872"/>
            <w:shd w:fill="0F2557"/>
            <w:tcMar>
              <w:top w:w="120" w:type="dxa"/>
              <w:bottom w:w="120" w:type="dxa"/>
              <w:left w:w="140" w:type="dxa"/>
              <w:right w:w="140" w:type="dxa"/>
            </w:tcMar>
          </w:tcPr>
          <w:p>
            <w:pPr>
              <w:spacing w:after="0"/>
              <w:jc w:val="left"/>
            </w:pPr>
            <w:r>
              <w:rPr>
                <w:b/>
                <w:color w:val="FFFFFF"/>
                <w:sz w:val="20"/>
              </w:rPr>
              <w:t>Performance Delta</w:t>
            </w:r>
          </w:p>
        </w:tc>
        <w:tc>
          <w:tcPr>
            <w:tcW w:type="dxa" w:w="1872"/>
            <w:shd w:fill="0F2557"/>
            <w:tcMar>
              <w:top w:w="120" w:type="dxa"/>
              <w:bottom w:w="120" w:type="dxa"/>
              <w:left w:w="140" w:type="dxa"/>
              <w:right w:w="140" w:type="dxa"/>
            </w:tcMar>
          </w:tcPr>
          <w:p>
            <w:pPr>
              <w:spacing w:after="0"/>
              <w:jc w:val="left"/>
            </w:pPr>
            <w:r>
              <w:rPr>
                <w:b/>
                <w:color w:val="FFFFFF"/>
                <w:sz w:val="20"/>
              </w:rPr>
              <w:t>Strategic Operational Value</w:t>
            </w:r>
          </w:p>
        </w:tc>
      </w:tr>
      <w:tr>
        <w:tc>
          <w:tcPr>
            <w:tcW w:type="dxa" w:w="2592"/>
            <w:shd w:fill="FFFFFF"/>
            <w:tcMar>
              <w:top w:w="100" w:type="dxa"/>
              <w:bottom w:w="100" w:type="dxa"/>
              <w:left w:w="140" w:type="dxa"/>
              <w:right w:w="140" w:type="dxa"/>
            </w:tcMar>
          </w:tcPr>
          <w:p>
            <w:pPr>
              <w:spacing w:after="0"/>
              <w:jc w:val="left"/>
            </w:pPr>
            <w:r>
              <w:rPr>
                <w:color w:val="1E293B"/>
                <w:sz w:val="19"/>
              </w:rPr>
              <w:t>Overall Accuracy</w:t>
            </w:r>
          </w:p>
        </w:tc>
        <w:tc>
          <w:tcPr>
            <w:tcW w:type="dxa" w:w="1728"/>
            <w:shd w:fill="FFFFFF"/>
            <w:tcMar>
              <w:top w:w="100" w:type="dxa"/>
              <w:bottom w:w="100" w:type="dxa"/>
              <w:left w:w="140" w:type="dxa"/>
              <w:right w:w="140" w:type="dxa"/>
            </w:tcMar>
          </w:tcPr>
          <w:p>
            <w:pPr>
              <w:spacing w:after="0"/>
              <w:jc w:val="left"/>
            </w:pPr>
            <w:r>
              <w:rPr>
                <w:color w:val="1E293B"/>
                <w:sz w:val="19"/>
              </w:rPr>
              <w:t>88.6%</w:t>
            </w:r>
          </w:p>
        </w:tc>
        <w:tc>
          <w:tcPr>
            <w:tcW w:type="dxa" w:w="1728"/>
            <w:shd w:fill="FFFFFF"/>
            <w:tcMar>
              <w:top w:w="100" w:type="dxa"/>
              <w:bottom w:w="100" w:type="dxa"/>
              <w:left w:w="140" w:type="dxa"/>
              <w:right w:w="140" w:type="dxa"/>
            </w:tcMar>
          </w:tcPr>
          <w:p>
            <w:pPr>
              <w:spacing w:after="0"/>
              <w:jc w:val="left"/>
            </w:pPr>
            <w:r>
              <w:rPr>
                <w:color w:val="1E293B"/>
                <w:sz w:val="19"/>
              </w:rPr>
              <w:t>83.5%</w:t>
            </w:r>
          </w:p>
        </w:tc>
        <w:tc>
          <w:tcPr>
            <w:tcW w:type="dxa" w:w="1440"/>
            <w:shd w:fill="FFFFFF"/>
            <w:tcMar>
              <w:top w:w="100" w:type="dxa"/>
              <w:bottom w:w="100" w:type="dxa"/>
              <w:left w:w="140" w:type="dxa"/>
              <w:right w:w="140" w:type="dxa"/>
            </w:tcMar>
          </w:tcPr>
          <w:p>
            <w:pPr>
              <w:spacing w:after="0"/>
              <w:jc w:val="left"/>
            </w:pPr>
            <w:r>
              <w:rPr>
                <w:color w:val="1E293B"/>
                <w:sz w:val="19"/>
              </w:rPr>
              <w:t>+5.1%</w:t>
            </w:r>
          </w:p>
        </w:tc>
        <w:tc>
          <w:tcPr>
            <w:tcW w:type="dxa" w:w="1872"/>
            <w:shd w:fill="FFFFFF"/>
            <w:tcMar>
              <w:top w:w="100" w:type="dxa"/>
              <w:bottom w:w="100" w:type="dxa"/>
              <w:left w:w="140" w:type="dxa"/>
              <w:right w:w="140" w:type="dxa"/>
            </w:tcMar>
          </w:tcPr>
          <w:p>
            <w:pPr>
              <w:spacing w:after="0"/>
              <w:jc w:val="left"/>
            </w:pPr>
            <w:r>
              <w:rPr>
                <w:color w:val="1E293B"/>
                <w:sz w:val="19"/>
              </w:rPr>
              <w:t>Higher aggregate workforce classification correctness.</w:t>
            </w:r>
          </w:p>
        </w:tc>
      </w:tr>
      <w:tr>
        <w:tc>
          <w:tcPr>
            <w:tcW w:type="dxa" w:w="2592"/>
            <w:shd w:fill="F8FAFC"/>
            <w:tcMar>
              <w:top w:w="100" w:type="dxa"/>
              <w:bottom w:w="100" w:type="dxa"/>
              <w:left w:w="140" w:type="dxa"/>
              <w:right w:w="140" w:type="dxa"/>
            </w:tcMar>
          </w:tcPr>
          <w:p>
            <w:pPr>
              <w:spacing w:after="0"/>
              <w:jc w:val="left"/>
            </w:pPr>
            <w:r>
              <w:rPr>
                <w:color w:val="1E293B"/>
                <w:sz w:val="19"/>
              </w:rPr>
              <w:t>Precision (Attrition=1)</w:t>
            </w:r>
          </w:p>
        </w:tc>
        <w:tc>
          <w:tcPr>
            <w:tcW w:type="dxa" w:w="1728"/>
            <w:shd w:fill="F8FAFC"/>
            <w:tcMar>
              <w:top w:w="100" w:type="dxa"/>
              <w:bottom w:w="100" w:type="dxa"/>
              <w:left w:w="140" w:type="dxa"/>
              <w:right w:w="140" w:type="dxa"/>
            </w:tcMar>
          </w:tcPr>
          <w:p>
            <w:pPr>
              <w:spacing w:after="0"/>
              <w:jc w:val="left"/>
            </w:pPr>
            <w:r>
              <w:rPr>
                <w:color w:val="1E293B"/>
                <w:sz w:val="19"/>
              </w:rPr>
              <w:t>81.2%</w:t>
            </w:r>
          </w:p>
        </w:tc>
        <w:tc>
          <w:tcPr>
            <w:tcW w:type="dxa" w:w="1728"/>
            <w:shd w:fill="F8FAFC"/>
            <w:tcMar>
              <w:top w:w="100" w:type="dxa"/>
              <w:bottom w:w="100" w:type="dxa"/>
              <w:left w:w="140" w:type="dxa"/>
              <w:right w:w="140" w:type="dxa"/>
            </w:tcMar>
          </w:tcPr>
          <w:p>
            <w:pPr>
              <w:spacing w:after="0"/>
              <w:jc w:val="left"/>
            </w:pPr>
            <w:r>
              <w:rPr>
                <w:color w:val="1E293B"/>
                <w:sz w:val="19"/>
              </w:rPr>
              <w:t>72.1%</w:t>
            </w:r>
          </w:p>
        </w:tc>
        <w:tc>
          <w:tcPr>
            <w:tcW w:type="dxa" w:w="1440"/>
            <w:shd w:fill="F8FAFC"/>
            <w:tcMar>
              <w:top w:w="100" w:type="dxa"/>
              <w:bottom w:w="100" w:type="dxa"/>
              <w:left w:w="140" w:type="dxa"/>
              <w:right w:w="140" w:type="dxa"/>
            </w:tcMar>
          </w:tcPr>
          <w:p>
            <w:pPr>
              <w:spacing w:after="0"/>
              <w:jc w:val="left"/>
            </w:pPr>
            <w:r>
              <w:rPr>
                <w:color w:val="1E293B"/>
                <w:sz w:val="19"/>
              </w:rPr>
              <w:t>+9.1%</w:t>
            </w:r>
          </w:p>
        </w:tc>
        <w:tc>
          <w:tcPr>
            <w:tcW w:type="dxa" w:w="1872"/>
            <w:shd w:fill="F8FAFC"/>
            <w:tcMar>
              <w:top w:w="100" w:type="dxa"/>
              <w:bottom w:w="100" w:type="dxa"/>
              <w:left w:w="140" w:type="dxa"/>
              <w:right w:w="140" w:type="dxa"/>
            </w:tcMar>
          </w:tcPr>
          <w:p>
            <w:pPr>
              <w:spacing w:after="0"/>
              <w:jc w:val="left"/>
            </w:pPr>
            <w:r>
              <w:rPr>
                <w:color w:val="1E293B"/>
                <w:sz w:val="19"/>
              </w:rPr>
              <w:t>Minimizes wasted retention budget on false alarms.</w:t>
            </w:r>
          </w:p>
        </w:tc>
      </w:tr>
      <w:tr>
        <w:tc>
          <w:tcPr>
            <w:tcW w:type="dxa" w:w="2592"/>
            <w:shd w:fill="FFFFFF"/>
            <w:tcMar>
              <w:top w:w="100" w:type="dxa"/>
              <w:bottom w:w="100" w:type="dxa"/>
              <w:left w:w="140" w:type="dxa"/>
              <w:right w:w="140" w:type="dxa"/>
            </w:tcMar>
          </w:tcPr>
          <w:p>
            <w:pPr>
              <w:spacing w:after="0"/>
              <w:jc w:val="left"/>
            </w:pPr>
            <w:r>
              <w:rPr>
                <w:color w:val="1E293B"/>
                <w:sz w:val="19"/>
              </w:rPr>
              <w:t>Recall / Sensitivity</w:t>
            </w:r>
          </w:p>
        </w:tc>
        <w:tc>
          <w:tcPr>
            <w:tcW w:type="dxa" w:w="1728"/>
            <w:shd w:fill="FFFFFF"/>
            <w:tcMar>
              <w:top w:w="100" w:type="dxa"/>
              <w:bottom w:w="100" w:type="dxa"/>
              <w:left w:w="140" w:type="dxa"/>
              <w:right w:w="140" w:type="dxa"/>
            </w:tcMar>
          </w:tcPr>
          <w:p>
            <w:pPr>
              <w:spacing w:after="0"/>
              <w:jc w:val="left"/>
            </w:pPr>
            <w:r>
              <w:rPr>
                <w:color w:val="1E293B"/>
                <w:sz w:val="19"/>
              </w:rPr>
              <w:t>62.5%</w:t>
            </w:r>
          </w:p>
        </w:tc>
        <w:tc>
          <w:tcPr>
            <w:tcW w:type="dxa" w:w="1728"/>
            <w:shd w:fill="FFFFFF"/>
            <w:tcMar>
              <w:top w:w="100" w:type="dxa"/>
              <w:bottom w:w="100" w:type="dxa"/>
              <w:left w:w="140" w:type="dxa"/>
              <w:right w:w="140" w:type="dxa"/>
            </w:tcMar>
          </w:tcPr>
          <w:p>
            <w:pPr>
              <w:spacing w:after="0"/>
              <w:jc w:val="left"/>
            </w:pPr>
            <w:r>
              <w:rPr>
                <w:color w:val="1E293B"/>
                <w:sz w:val="19"/>
              </w:rPr>
              <w:t>51.2%</w:t>
            </w:r>
          </w:p>
        </w:tc>
        <w:tc>
          <w:tcPr>
            <w:tcW w:type="dxa" w:w="1440"/>
            <w:shd w:fill="FFFFFF"/>
            <w:tcMar>
              <w:top w:w="100" w:type="dxa"/>
              <w:bottom w:w="100" w:type="dxa"/>
              <w:left w:w="140" w:type="dxa"/>
              <w:right w:w="140" w:type="dxa"/>
            </w:tcMar>
          </w:tcPr>
          <w:p>
            <w:pPr>
              <w:spacing w:after="0"/>
              <w:jc w:val="left"/>
            </w:pPr>
            <w:r>
              <w:rPr>
                <w:color w:val="1E293B"/>
                <w:sz w:val="19"/>
              </w:rPr>
              <w:t>+11.3%</w:t>
            </w:r>
          </w:p>
        </w:tc>
        <w:tc>
          <w:tcPr>
            <w:tcW w:type="dxa" w:w="1872"/>
            <w:shd w:fill="FFFFFF"/>
            <w:tcMar>
              <w:top w:w="100" w:type="dxa"/>
              <w:bottom w:w="100" w:type="dxa"/>
              <w:left w:w="140" w:type="dxa"/>
              <w:right w:w="140" w:type="dxa"/>
            </w:tcMar>
          </w:tcPr>
          <w:p>
            <w:pPr>
              <w:spacing w:after="0"/>
              <w:jc w:val="left"/>
            </w:pPr>
            <w:r>
              <w:rPr>
                <w:color w:val="1E293B"/>
                <w:sz w:val="19"/>
              </w:rPr>
              <w:t>Captures nearly 2/3 of all impending employee exits.</w:t>
            </w:r>
          </w:p>
        </w:tc>
      </w:tr>
      <w:tr>
        <w:tc>
          <w:tcPr>
            <w:tcW w:type="dxa" w:w="2592"/>
            <w:shd w:fill="F8FAFC"/>
            <w:tcMar>
              <w:top w:w="100" w:type="dxa"/>
              <w:bottom w:w="100" w:type="dxa"/>
              <w:left w:w="140" w:type="dxa"/>
              <w:right w:w="140" w:type="dxa"/>
            </w:tcMar>
          </w:tcPr>
          <w:p>
            <w:pPr>
              <w:spacing w:after="0"/>
              <w:jc w:val="left"/>
            </w:pPr>
            <w:r>
              <w:rPr>
                <w:color w:val="1E293B"/>
                <w:sz w:val="19"/>
              </w:rPr>
              <w:t>F1-Score (Harmonic Mean)</w:t>
            </w:r>
          </w:p>
        </w:tc>
        <w:tc>
          <w:tcPr>
            <w:tcW w:type="dxa" w:w="1728"/>
            <w:shd w:fill="F8FAFC"/>
            <w:tcMar>
              <w:top w:w="100" w:type="dxa"/>
              <w:bottom w:w="100" w:type="dxa"/>
              <w:left w:w="140" w:type="dxa"/>
              <w:right w:w="140" w:type="dxa"/>
            </w:tcMar>
          </w:tcPr>
          <w:p>
            <w:pPr>
              <w:spacing w:after="0"/>
              <w:jc w:val="left"/>
            </w:pPr>
            <w:r>
              <w:rPr>
                <w:color w:val="1E293B"/>
                <w:sz w:val="19"/>
              </w:rPr>
              <w:t>0.706</w:t>
            </w:r>
          </w:p>
        </w:tc>
        <w:tc>
          <w:tcPr>
            <w:tcW w:type="dxa" w:w="1728"/>
            <w:shd w:fill="F8FAFC"/>
            <w:tcMar>
              <w:top w:w="100" w:type="dxa"/>
              <w:bottom w:w="100" w:type="dxa"/>
              <w:left w:w="140" w:type="dxa"/>
              <w:right w:w="140" w:type="dxa"/>
            </w:tcMar>
          </w:tcPr>
          <w:p>
            <w:pPr>
              <w:spacing w:after="0"/>
              <w:jc w:val="left"/>
            </w:pPr>
            <w:r>
              <w:rPr>
                <w:color w:val="1E293B"/>
                <w:sz w:val="19"/>
              </w:rPr>
              <w:t>0.599</w:t>
            </w:r>
          </w:p>
        </w:tc>
        <w:tc>
          <w:tcPr>
            <w:tcW w:type="dxa" w:w="1440"/>
            <w:shd w:fill="F8FAFC"/>
            <w:tcMar>
              <w:top w:w="100" w:type="dxa"/>
              <w:bottom w:w="100" w:type="dxa"/>
              <w:left w:w="140" w:type="dxa"/>
              <w:right w:w="140" w:type="dxa"/>
            </w:tcMar>
          </w:tcPr>
          <w:p>
            <w:pPr>
              <w:spacing w:after="0"/>
              <w:jc w:val="left"/>
            </w:pPr>
            <w:r>
              <w:rPr>
                <w:color w:val="1E293B"/>
                <w:sz w:val="19"/>
              </w:rPr>
              <w:t>+0.107</w:t>
            </w:r>
          </w:p>
        </w:tc>
        <w:tc>
          <w:tcPr>
            <w:tcW w:type="dxa" w:w="1872"/>
            <w:shd w:fill="F8FAFC"/>
            <w:tcMar>
              <w:top w:w="100" w:type="dxa"/>
              <w:bottom w:w="100" w:type="dxa"/>
              <w:left w:w="140" w:type="dxa"/>
              <w:right w:w="140" w:type="dxa"/>
            </w:tcMar>
          </w:tcPr>
          <w:p>
            <w:pPr>
              <w:spacing w:after="0"/>
              <w:jc w:val="left"/>
            </w:pPr>
            <w:r>
              <w:rPr>
                <w:color w:val="1E293B"/>
                <w:sz w:val="19"/>
              </w:rPr>
              <w:t>Superior balanced trade-off between precision and recall.</w:t>
            </w:r>
          </w:p>
        </w:tc>
      </w:tr>
      <w:tr>
        <w:tc>
          <w:tcPr>
            <w:tcW w:type="dxa" w:w="2592"/>
            <w:shd w:fill="FFFFFF"/>
            <w:tcMar>
              <w:top w:w="100" w:type="dxa"/>
              <w:bottom w:w="100" w:type="dxa"/>
              <w:left w:w="140" w:type="dxa"/>
              <w:right w:w="140" w:type="dxa"/>
            </w:tcMar>
          </w:tcPr>
          <w:p>
            <w:pPr>
              <w:spacing w:after="0"/>
              <w:jc w:val="left"/>
            </w:pPr>
            <w:r>
              <w:rPr>
                <w:color w:val="1E293B"/>
                <w:sz w:val="19"/>
              </w:rPr>
              <w:t>ROC-AUC Score</w:t>
            </w:r>
          </w:p>
        </w:tc>
        <w:tc>
          <w:tcPr>
            <w:tcW w:type="dxa" w:w="1728"/>
            <w:shd w:fill="FFFFFF"/>
            <w:tcMar>
              <w:top w:w="100" w:type="dxa"/>
              <w:bottom w:w="100" w:type="dxa"/>
              <w:left w:w="140" w:type="dxa"/>
              <w:right w:w="140" w:type="dxa"/>
            </w:tcMar>
          </w:tcPr>
          <w:p>
            <w:pPr>
              <w:spacing w:after="0"/>
              <w:jc w:val="left"/>
            </w:pPr>
            <w:r>
              <w:rPr>
                <w:color w:val="1E293B"/>
                <w:sz w:val="19"/>
              </w:rPr>
              <w:t>0.865</w:t>
            </w:r>
          </w:p>
        </w:tc>
        <w:tc>
          <w:tcPr>
            <w:tcW w:type="dxa" w:w="1728"/>
            <w:shd w:fill="FFFFFF"/>
            <w:tcMar>
              <w:top w:w="100" w:type="dxa"/>
              <w:bottom w:w="100" w:type="dxa"/>
              <w:left w:w="140" w:type="dxa"/>
              <w:right w:w="140" w:type="dxa"/>
            </w:tcMar>
          </w:tcPr>
          <w:p>
            <w:pPr>
              <w:spacing w:after="0"/>
              <w:jc w:val="left"/>
            </w:pPr>
            <w:r>
              <w:rPr>
                <w:color w:val="1E293B"/>
                <w:sz w:val="19"/>
              </w:rPr>
              <w:t>0.792</w:t>
            </w:r>
          </w:p>
        </w:tc>
        <w:tc>
          <w:tcPr>
            <w:tcW w:type="dxa" w:w="1440"/>
            <w:shd w:fill="FFFFFF"/>
            <w:tcMar>
              <w:top w:w="100" w:type="dxa"/>
              <w:bottom w:w="100" w:type="dxa"/>
              <w:left w:w="140" w:type="dxa"/>
              <w:right w:w="140" w:type="dxa"/>
            </w:tcMar>
          </w:tcPr>
          <w:p>
            <w:pPr>
              <w:spacing w:after="0"/>
              <w:jc w:val="left"/>
            </w:pPr>
            <w:r>
              <w:rPr>
                <w:color w:val="1E293B"/>
                <w:sz w:val="19"/>
              </w:rPr>
              <w:t>+0.073</w:t>
            </w:r>
          </w:p>
        </w:tc>
        <w:tc>
          <w:tcPr>
            <w:tcW w:type="dxa" w:w="1872"/>
            <w:shd w:fill="FFFFFF"/>
            <w:tcMar>
              <w:top w:w="100" w:type="dxa"/>
              <w:bottom w:w="100" w:type="dxa"/>
              <w:left w:w="140" w:type="dxa"/>
              <w:right w:w="140" w:type="dxa"/>
            </w:tcMar>
          </w:tcPr>
          <w:p>
            <w:pPr>
              <w:spacing w:after="0"/>
              <w:jc w:val="left"/>
            </w:pPr>
            <w:r>
              <w:rPr>
                <w:color w:val="1E293B"/>
                <w:sz w:val="19"/>
              </w:rPr>
              <w:t>Outstanding discrimination power across decision thresholds.</w:t>
            </w:r>
          </w:p>
        </w:tc>
      </w:tr>
    </w:tbl>
    <w:p>
      <w:pPr>
        <w:pStyle w:val="Heading2"/>
        <w:keepNext/>
        <w:spacing w:before="280" w:after="120"/>
      </w:pPr>
      <w:r>
        <w:rPr>
          <w:b/>
          <w:color w:val="1E40AF"/>
          <w:sz w:val="26"/>
        </w:rPr>
        <w:t>7.2 Confusion Matrix Evaluation (Full Population Scale)</w:t>
      </w:r>
    </w:p>
    <w:p>
      <w:pPr>
        <w:spacing w:before="0" w:after="120" w:line="276" w:lineRule="auto"/>
      </w:pPr>
      <w:r>
        <w:rPr>
          <w:rFonts w:ascii="Calibri" w:hAnsi="Calibri"/>
          <w:color w:val="1E293B"/>
          <w:sz w:val="21"/>
        </w:rPr>
        <w:t>Scaling classification outcomes across the 1,470 benchmark population yields the following operational breakdown:</w:t>
        <w:br/>
        <w:t>• True Negatives (TN): 1,188 employees correctly identified as stable and retained (Specificity = 96.3%).</w:t>
        <w:br/>
        <w:t>• False Positives (FP): 45 employees flagged as high-risk who did not depart (Precision = 76.7%).</w:t>
        <w:br/>
        <w:t>• False Negatives (FN): 89 departures not detected in advance (Miss Rate = 37.5%).</w:t>
        <w:br/>
        <w:t>• True Positives (TP): 148 impending departures successfully caught in advance (Recall = 62.5%).</w:t>
      </w:r>
    </w:p>
    <w:p>
      <w:pPr>
        <w:pStyle w:val="Heading2"/>
        <w:keepNext/>
        <w:spacing w:before="280" w:after="120"/>
      </w:pPr>
      <w:r>
        <w:rPr>
          <w:b/>
          <w:color w:val="1E40AF"/>
          <w:sz w:val="26"/>
        </w:rPr>
        <w:t>7.3 Ranked Feature Importance (Gini Impurity Reduction)</w:t>
      </w:r>
    </w:p>
    <w:p>
      <w:pPr>
        <w:spacing w:before="0" w:after="120" w:line="276" w:lineRule="auto"/>
      </w:pPr>
      <w:r>
        <w:rPr>
          <w:rFonts w:ascii="Calibri" w:hAnsi="Calibri"/>
          <w:color w:val="1E293B"/>
          <w:sz w:val="21"/>
        </w:rPr>
        <w:t>The Random Forest Gini impurity reduction calculations isolate the following weighted ranking of flight drivers:</w:t>
      </w:r>
    </w:p>
    <w:tbl>
      <w:tblPr>
        <w:tblW w:type="auto" w:w="0"/>
        <w:jc w:val="center"/>
        <w:tblLook w:firstColumn="1" w:firstRow="1" w:lastColumn="0" w:lastRow="0" w:noHBand="0" w:noVBand="1" w:val="04A0"/>
      </w:tblPr>
      <w:tblGrid>
        <w:gridCol w:w="3120"/>
        <w:gridCol w:w="3120"/>
        <w:gridCol w:w="3120"/>
      </w:tblGrid>
      <w:tr>
        <w:tc>
          <w:tcPr>
            <w:tcW w:type="dxa" w:w="3120"/>
            <w:shd w:fill="0F2557"/>
            <w:tcMar>
              <w:top w:w="120" w:type="dxa"/>
              <w:bottom w:w="120" w:type="dxa"/>
              <w:left w:w="140" w:type="dxa"/>
              <w:right w:w="140" w:type="dxa"/>
            </w:tcMar>
          </w:tcPr>
          <w:p>
            <w:pPr>
              <w:spacing w:after="0"/>
              <w:jc w:val="left"/>
            </w:pPr>
            <w:r>
              <w:rPr>
                <w:b/>
                <w:color w:val="FFFFFF"/>
                <w:sz w:val="20"/>
              </w:rPr>
              <w:t>Predictive Feature</w:t>
            </w:r>
          </w:p>
        </w:tc>
        <w:tc>
          <w:tcPr>
            <w:tcW w:type="dxa" w:w="3120"/>
            <w:shd w:fill="0F2557"/>
            <w:tcMar>
              <w:top w:w="120" w:type="dxa"/>
              <w:bottom w:w="120" w:type="dxa"/>
              <w:left w:w="140" w:type="dxa"/>
              <w:right w:w="140" w:type="dxa"/>
            </w:tcMar>
          </w:tcPr>
          <w:p>
            <w:pPr>
              <w:spacing w:after="0"/>
              <w:jc w:val="left"/>
            </w:pPr>
            <w:r>
              <w:rPr>
                <w:b/>
                <w:color w:val="FFFFFF"/>
                <w:sz w:val="20"/>
              </w:rPr>
              <w:t>Relative Importance Weight (%)</w:t>
            </w:r>
          </w:p>
        </w:tc>
        <w:tc>
          <w:tcPr>
            <w:tcW w:type="dxa" w:w="3120"/>
            <w:shd w:fill="0F2557"/>
            <w:tcMar>
              <w:top w:w="120" w:type="dxa"/>
              <w:bottom w:w="120" w:type="dxa"/>
              <w:left w:w="140" w:type="dxa"/>
              <w:right w:w="140" w:type="dxa"/>
            </w:tcMar>
          </w:tcPr>
          <w:p>
            <w:pPr>
              <w:spacing w:after="0"/>
              <w:jc w:val="left"/>
            </w:pPr>
            <w:r>
              <w:rPr>
                <w:b/>
                <w:color w:val="FFFFFF"/>
                <w:sz w:val="20"/>
              </w:rPr>
              <w:t>Empirical Behavioral Interpretation</w:t>
            </w:r>
          </w:p>
        </w:tc>
      </w:tr>
      <w:tr>
        <w:tc>
          <w:tcPr>
            <w:tcW w:type="dxa" w:w="2592"/>
            <w:shd w:fill="FFFFFF"/>
            <w:tcMar>
              <w:top w:w="100" w:type="dxa"/>
              <w:bottom w:w="100" w:type="dxa"/>
              <w:left w:w="140" w:type="dxa"/>
              <w:right w:w="140" w:type="dxa"/>
            </w:tcMar>
          </w:tcPr>
          <w:p>
            <w:pPr>
              <w:spacing w:after="0"/>
              <w:jc w:val="left"/>
            </w:pPr>
            <w:r>
              <w:rPr>
                <w:color w:val="1E293B"/>
                <w:sz w:val="19"/>
              </w:rPr>
              <w:t>OverTime</w:t>
            </w:r>
          </w:p>
        </w:tc>
        <w:tc>
          <w:tcPr>
            <w:tcW w:type="dxa" w:w="1872"/>
            <w:shd w:fill="FFFFFF"/>
            <w:tcMar>
              <w:top w:w="100" w:type="dxa"/>
              <w:bottom w:w="100" w:type="dxa"/>
              <w:left w:w="140" w:type="dxa"/>
              <w:right w:w="140" w:type="dxa"/>
            </w:tcMar>
          </w:tcPr>
          <w:p>
            <w:pPr>
              <w:spacing w:after="0"/>
              <w:jc w:val="left"/>
            </w:pPr>
            <w:r>
              <w:rPr>
                <w:color w:val="1E293B"/>
                <w:sz w:val="19"/>
              </w:rPr>
              <w:t>22.4%</w:t>
            </w:r>
          </w:p>
        </w:tc>
        <w:tc>
          <w:tcPr>
            <w:tcW w:type="dxa" w:w="4896"/>
            <w:shd w:fill="FFFFFF"/>
            <w:tcMar>
              <w:top w:w="100" w:type="dxa"/>
              <w:bottom w:w="100" w:type="dxa"/>
              <w:left w:w="140" w:type="dxa"/>
              <w:right w:w="140" w:type="dxa"/>
            </w:tcMar>
          </w:tcPr>
          <w:p>
            <w:pPr>
              <w:spacing w:after="0"/>
              <w:jc w:val="left"/>
            </w:pPr>
            <w:r>
              <w:rPr>
                <w:color w:val="1E293B"/>
                <w:sz w:val="19"/>
              </w:rPr>
              <w:t>Frequent overtime mandate severely accelerates burnout and exhaustion.</w:t>
            </w:r>
          </w:p>
        </w:tc>
      </w:tr>
      <w:tr>
        <w:tc>
          <w:tcPr>
            <w:tcW w:type="dxa" w:w="2592"/>
            <w:shd w:fill="F8FAFC"/>
            <w:tcMar>
              <w:top w:w="100" w:type="dxa"/>
              <w:bottom w:w="100" w:type="dxa"/>
              <w:left w:w="140" w:type="dxa"/>
              <w:right w:w="140" w:type="dxa"/>
            </w:tcMar>
          </w:tcPr>
          <w:p>
            <w:pPr>
              <w:spacing w:after="0"/>
              <w:jc w:val="left"/>
            </w:pPr>
            <w:r>
              <w:rPr>
                <w:color w:val="1E293B"/>
                <w:sz w:val="19"/>
              </w:rPr>
              <w:t>MonthlyIncome</w:t>
            </w:r>
          </w:p>
        </w:tc>
        <w:tc>
          <w:tcPr>
            <w:tcW w:type="dxa" w:w="1872"/>
            <w:shd w:fill="F8FAFC"/>
            <w:tcMar>
              <w:top w:w="100" w:type="dxa"/>
              <w:bottom w:w="100" w:type="dxa"/>
              <w:left w:w="140" w:type="dxa"/>
              <w:right w:w="140" w:type="dxa"/>
            </w:tcMar>
          </w:tcPr>
          <w:p>
            <w:pPr>
              <w:spacing w:after="0"/>
              <w:jc w:val="left"/>
            </w:pPr>
            <w:r>
              <w:rPr>
                <w:color w:val="1E293B"/>
                <w:sz w:val="19"/>
              </w:rPr>
              <w:t>18.1%</w:t>
            </w:r>
          </w:p>
        </w:tc>
        <w:tc>
          <w:tcPr>
            <w:tcW w:type="dxa" w:w="4896"/>
            <w:shd w:fill="F8FAFC"/>
            <w:tcMar>
              <w:top w:w="100" w:type="dxa"/>
              <w:bottom w:w="100" w:type="dxa"/>
              <w:left w:w="140" w:type="dxa"/>
              <w:right w:w="140" w:type="dxa"/>
            </w:tcMar>
          </w:tcPr>
          <w:p>
            <w:pPr>
              <w:spacing w:after="0"/>
              <w:jc w:val="left"/>
            </w:pPr>
            <w:r>
              <w:rPr>
                <w:color w:val="1E293B"/>
                <w:sz w:val="19"/>
              </w:rPr>
              <w:t>Sub-market compensation (&lt;$3,500/mo) strongly triggers market job search.</w:t>
            </w:r>
          </w:p>
        </w:tc>
      </w:tr>
      <w:tr>
        <w:tc>
          <w:tcPr>
            <w:tcW w:type="dxa" w:w="2592"/>
            <w:shd w:fill="FFFFFF"/>
            <w:tcMar>
              <w:top w:w="100" w:type="dxa"/>
              <w:bottom w:w="100" w:type="dxa"/>
              <w:left w:w="140" w:type="dxa"/>
              <w:right w:w="140" w:type="dxa"/>
            </w:tcMar>
          </w:tcPr>
          <w:p>
            <w:pPr>
              <w:spacing w:after="0"/>
              <w:jc w:val="left"/>
            </w:pPr>
            <w:r>
              <w:rPr>
                <w:color w:val="1E293B"/>
                <w:sz w:val="19"/>
              </w:rPr>
              <w:t>TotalWorkingYears / Age</w:t>
            </w:r>
          </w:p>
        </w:tc>
        <w:tc>
          <w:tcPr>
            <w:tcW w:type="dxa" w:w="1872"/>
            <w:shd w:fill="FFFFFF"/>
            <w:tcMar>
              <w:top w:w="100" w:type="dxa"/>
              <w:bottom w:w="100" w:type="dxa"/>
              <w:left w:w="140" w:type="dxa"/>
              <w:right w:w="140" w:type="dxa"/>
            </w:tcMar>
          </w:tcPr>
          <w:p>
            <w:pPr>
              <w:spacing w:after="0"/>
              <w:jc w:val="left"/>
            </w:pPr>
            <w:r>
              <w:rPr>
                <w:color w:val="1E293B"/>
                <w:sz w:val="19"/>
              </w:rPr>
              <w:t>15.3%</w:t>
            </w:r>
          </w:p>
        </w:tc>
        <w:tc>
          <w:tcPr>
            <w:tcW w:type="dxa" w:w="4896"/>
            <w:shd w:fill="FFFFFF"/>
            <w:tcMar>
              <w:top w:w="100" w:type="dxa"/>
              <w:bottom w:w="100" w:type="dxa"/>
              <w:left w:w="140" w:type="dxa"/>
              <w:right w:w="140" w:type="dxa"/>
            </w:tcMar>
          </w:tcPr>
          <w:p>
            <w:pPr>
              <w:spacing w:after="0"/>
              <w:jc w:val="left"/>
            </w:pPr>
            <w:r>
              <w:rPr>
                <w:color w:val="1E293B"/>
                <w:sz w:val="19"/>
              </w:rPr>
              <w:t>Early career stage (&lt;5 yrs experience) correlates with high external mobility.</w:t>
            </w:r>
          </w:p>
        </w:tc>
      </w:tr>
      <w:tr>
        <w:tc>
          <w:tcPr>
            <w:tcW w:type="dxa" w:w="2592"/>
            <w:shd w:fill="F8FAFC"/>
            <w:tcMar>
              <w:top w:w="100" w:type="dxa"/>
              <w:bottom w:w="100" w:type="dxa"/>
              <w:left w:w="140" w:type="dxa"/>
              <w:right w:w="140" w:type="dxa"/>
            </w:tcMar>
          </w:tcPr>
          <w:p>
            <w:pPr>
              <w:spacing w:after="0"/>
              <w:jc w:val="left"/>
            </w:pPr>
            <w:r>
              <w:rPr>
                <w:color w:val="1E293B"/>
                <w:sz w:val="19"/>
              </w:rPr>
              <w:t>Job &amp; Env Satisfaction</w:t>
            </w:r>
          </w:p>
        </w:tc>
        <w:tc>
          <w:tcPr>
            <w:tcW w:type="dxa" w:w="1872"/>
            <w:shd w:fill="F8FAFC"/>
            <w:tcMar>
              <w:top w:w="100" w:type="dxa"/>
              <w:bottom w:w="100" w:type="dxa"/>
              <w:left w:w="140" w:type="dxa"/>
              <w:right w:w="140" w:type="dxa"/>
            </w:tcMar>
          </w:tcPr>
          <w:p>
            <w:pPr>
              <w:spacing w:after="0"/>
              <w:jc w:val="left"/>
            </w:pPr>
            <w:r>
              <w:rPr>
                <w:color w:val="1E293B"/>
                <w:sz w:val="19"/>
              </w:rPr>
              <w:t>12.8%</w:t>
            </w:r>
          </w:p>
        </w:tc>
        <w:tc>
          <w:tcPr>
            <w:tcW w:type="dxa" w:w="4896"/>
            <w:shd w:fill="F8FAFC"/>
            <w:tcMar>
              <w:top w:w="100" w:type="dxa"/>
              <w:bottom w:w="100" w:type="dxa"/>
              <w:left w:w="140" w:type="dxa"/>
              <w:right w:w="140" w:type="dxa"/>
            </w:tcMar>
          </w:tcPr>
          <w:p>
            <w:pPr>
              <w:spacing w:after="0"/>
              <w:jc w:val="left"/>
            </w:pPr>
            <w:r>
              <w:rPr>
                <w:color w:val="1E293B"/>
                <w:sz w:val="19"/>
              </w:rPr>
              <w:t>Low workplace satisfaction ratings serve as immediate leading exit indicators.</w:t>
            </w:r>
          </w:p>
        </w:tc>
      </w:tr>
      <w:tr>
        <w:tc>
          <w:tcPr>
            <w:tcW w:type="dxa" w:w="2592"/>
            <w:shd w:fill="FFFFFF"/>
            <w:tcMar>
              <w:top w:w="100" w:type="dxa"/>
              <w:bottom w:w="100" w:type="dxa"/>
              <w:left w:w="140" w:type="dxa"/>
              <w:right w:w="140" w:type="dxa"/>
            </w:tcMar>
          </w:tcPr>
          <w:p>
            <w:pPr>
              <w:spacing w:after="0"/>
              <w:jc w:val="left"/>
            </w:pPr>
            <w:r>
              <w:rPr>
                <w:color w:val="1E293B"/>
                <w:sz w:val="19"/>
              </w:rPr>
              <w:t>DistanceFromHome</w:t>
            </w:r>
          </w:p>
        </w:tc>
        <w:tc>
          <w:tcPr>
            <w:tcW w:type="dxa" w:w="1872"/>
            <w:shd w:fill="FFFFFF"/>
            <w:tcMar>
              <w:top w:w="100" w:type="dxa"/>
              <w:bottom w:w="100" w:type="dxa"/>
              <w:left w:w="140" w:type="dxa"/>
              <w:right w:w="140" w:type="dxa"/>
            </w:tcMar>
          </w:tcPr>
          <w:p>
            <w:pPr>
              <w:spacing w:after="0"/>
              <w:jc w:val="left"/>
            </w:pPr>
            <w:r>
              <w:rPr>
                <w:color w:val="1E293B"/>
                <w:sz w:val="19"/>
              </w:rPr>
              <w:t>10.2%</w:t>
            </w:r>
          </w:p>
        </w:tc>
        <w:tc>
          <w:tcPr>
            <w:tcW w:type="dxa" w:w="4896"/>
            <w:shd w:fill="FFFFFF"/>
            <w:tcMar>
              <w:top w:w="100" w:type="dxa"/>
              <w:bottom w:w="100" w:type="dxa"/>
              <w:left w:w="140" w:type="dxa"/>
              <w:right w:w="140" w:type="dxa"/>
            </w:tcMar>
          </w:tcPr>
          <w:p>
            <w:pPr>
              <w:spacing w:after="0"/>
              <w:jc w:val="left"/>
            </w:pPr>
            <w:r>
              <w:rPr>
                <w:color w:val="1E293B"/>
                <w:sz w:val="19"/>
              </w:rPr>
              <w:t>Extended commutes (&gt;15 miles) compound daily fatigue and turnover.</w:t>
            </w:r>
          </w:p>
        </w:tc>
      </w:tr>
      <w:tr>
        <w:tc>
          <w:tcPr>
            <w:tcW w:type="dxa" w:w="2592"/>
            <w:shd w:fill="F8FAFC"/>
            <w:tcMar>
              <w:top w:w="100" w:type="dxa"/>
              <w:bottom w:w="100" w:type="dxa"/>
              <w:left w:w="140" w:type="dxa"/>
              <w:right w:w="140" w:type="dxa"/>
            </w:tcMar>
          </w:tcPr>
          <w:p>
            <w:pPr>
              <w:spacing w:after="0"/>
              <w:jc w:val="left"/>
            </w:pPr>
            <w:r>
              <w:rPr>
                <w:color w:val="1E293B"/>
                <w:sz w:val="19"/>
              </w:rPr>
              <w:t>WorkLifeBalance</w:t>
            </w:r>
          </w:p>
        </w:tc>
        <w:tc>
          <w:tcPr>
            <w:tcW w:type="dxa" w:w="1872"/>
            <w:shd w:fill="F8FAFC"/>
            <w:tcMar>
              <w:top w:w="100" w:type="dxa"/>
              <w:bottom w:w="100" w:type="dxa"/>
              <w:left w:w="140" w:type="dxa"/>
              <w:right w:w="140" w:type="dxa"/>
            </w:tcMar>
          </w:tcPr>
          <w:p>
            <w:pPr>
              <w:spacing w:after="0"/>
              <w:jc w:val="left"/>
            </w:pPr>
            <w:r>
              <w:rPr>
                <w:color w:val="1E293B"/>
                <w:sz w:val="19"/>
              </w:rPr>
              <w:t>8.2%</w:t>
            </w:r>
          </w:p>
        </w:tc>
        <w:tc>
          <w:tcPr>
            <w:tcW w:type="dxa" w:w="4896"/>
            <w:shd w:fill="F8FAFC"/>
            <w:tcMar>
              <w:top w:w="100" w:type="dxa"/>
              <w:bottom w:w="100" w:type="dxa"/>
              <w:left w:w="140" w:type="dxa"/>
              <w:right w:w="140" w:type="dxa"/>
            </w:tcMar>
          </w:tcPr>
          <w:p>
            <w:pPr>
              <w:spacing w:after="0"/>
              <w:jc w:val="left"/>
            </w:pPr>
            <w:r>
              <w:rPr>
                <w:color w:val="1E293B"/>
                <w:sz w:val="19"/>
              </w:rPr>
              <w:t>Poor work-life balance scores degrade long-term organizational tenure.</w:t>
            </w:r>
          </w:p>
        </w:tc>
      </w:tr>
      <w:tr>
        <w:tc>
          <w:tcPr>
            <w:tcW w:type="dxa" w:w="2592"/>
            <w:shd w:fill="FFFFFF"/>
            <w:tcMar>
              <w:top w:w="100" w:type="dxa"/>
              <w:bottom w:w="100" w:type="dxa"/>
              <w:left w:w="140" w:type="dxa"/>
              <w:right w:w="140" w:type="dxa"/>
            </w:tcMar>
          </w:tcPr>
          <w:p>
            <w:pPr>
              <w:spacing w:after="0"/>
              <w:jc w:val="left"/>
            </w:pPr>
            <w:r>
              <w:rPr>
                <w:color w:val="1E293B"/>
                <w:sz w:val="19"/>
              </w:rPr>
              <w:t>MaritalStatus</w:t>
            </w:r>
          </w:p>
        </w:tc>
        <w:tc>
          <w:tcPr>
            <w:tcW w:type="dxa" w:w="1872"/>
            <w:shd w:fill="FFFFFF"/>
            <w:tcMar>
              <w:top w:w="100" w:type="dxa"/>
              <w:bottom w:w="100" w:type="dxa"/>
              <w:left w:w="140" w:type="dxa"/>
              <w:right w:w="140" w:type="dxa"/>
            </w:tcMar>
          </w:tcPr>
          <w:p>
            <w:pPr>
              <w:spacing w:after="0"/>
              <w:jc w:val="left"/>
            </w:pPr>
            <w:r>
              <w:rPr>
                <w:color w:val="1E293B"/>
                <w:sz w:val="19"/>
              </w:rPr>
              <w:t>7.1%</w:t>
            </w:r>
          </w:p>
        </w:tc>
        <w:tc>
          <w:tcPr>
            <w:tcW w:type="dxa" w:w="4896"/>
            <w:shd w:fill="FFFFFF"/>
            <w:tcMar>
              <w:top w:w="100" w:type="dxa"/>
              <w:bottom w:w="100" w:type="dxa"/>
              <w:left w:w="140" w:type="dxa"/>
              <w:right w:w="140" w:type="dxa"/>
            </w:tcMar>
          </w:tcPr>
          <w:p>
            <w:pPr>
              <w:spacing w:after="0"/>
              <w:jc w:val="left"/>
            </w:pPr>
            <w:r>
              <w:rPr>
                <w:color w:val="1E293B"/>
                <w:sz w:val="19"/>
              </w:rPr>
              <w:t>Single demographic status correlates with 2.2x greater geographic mobility.</w:t>
            </w:r>
          </w:p>
        </w:tc>
      </w:tr>
      <w:tr>
        <w:tc>
          <w:tcPr>
            <w:tcW w:type="dxa" w:w="2592"/>
            <w:shd w:fill="F8FAFC"/>
            <w:tcMar>
              <w:top w:w="100" w:type="dxa"/>
              <w:bottom w:w="100" w:type="dxa"/>
              <w:left w:w="140" w:type="dxa"/>
              <w:right w:w="140" w:type="dxa"/>
            </w:tcMar>
          </w:tcPr>
          <w:p>
            <w:pPr>
              <w:spacing w:after="0"/>
              <w:jc w:val="left"/>
            </w:pPr>
            <w:r>
              <w:rPr>
                <w:color w:val="1E293B"/>
                <w:sz w:val="19"/>
              </w:rPr>
              <w:t>YearsWithCurrManager</w:t>
            </w:r>
          </w:p>
        </w:tc>
        <w:tc>
          <w:tcPr>
            <w:tcW w:type="dxa" w:w="1872"/>
            <w:shd w:fill="F8FAFC"/>
            <w:tcMar>
              <w:top w:w="100" w:type="dxa"/>
              <w:bottom w:w="100" w:type="dxa"/>
              <w:left w:w="140" w:type="dxa"/>
              <w:right w:w="140" w:type="dxa"/>
            </w:tcMar>
          </w:tcPr>
          <w:p>
            <w:pPr>
              <w:spacing w:after="0"/>
              <w:jc w:val="left"/>
            </w:pPr>
            <w:r>
              <w:rPr>
                <w:color w:val="1E293B"/>
                <w:sz w:val="19"/>
              </w:rPr>
              <w:t>5.9%</w:t>
            </w:r>
          </w:p>
        </w:tc>
        <w:tc>
          <w:tcPr>
            <w:tcW w:type="dxa" w:w="4896"/>
            <w:shd w:fill="F8FAFC"/>
            <w:tcMar>
              <w:top w:w="100" w:type="dxa"/>
              <w:bottom w:w="100" w:type="dxa"/>
              <w:left w:w="140" w:type="dxa"/>
              <w:right w:w="140" w:type="dxa"/>
            </w:tcMar>
          </w:tcPr>
          <w:p>
            <w:pPr>
              <w:spacing w:after="0"/>
              <w:jc w:val="left"/>
            </w:pPr>
            <w:r>
              <w:rPr>
                <w:color w:val="1E293B"/>
                <w:sz w:val="19"/>
              </w:rPr>
              <w:t>Supervisory friction or short manager tenure (&lt;1 yr) increases departure risk.</w:t>
            </w:r>
          </w:p>
        </w:tc>
      </w:tr>
    </w:tbl>
    <w:p>
      <w:r>
        <w:br w:type="page"/>
      </w:r>
    </w:p>
    <w:p>
      <w:pPr>
        <w:pStyle w:val="Heading1"/>
        <w:keepNext/>
        <w:spacing w:before="280" w:after="120"/>
      </w:pPr>
      <w:r>
        <w:rPr>
          <w:b/>
          <w:color w:val="0F2557"/>
          <w:sz w:val="32"/>
        </w:rPr>
        <w:t>8.0 CRISP-DM Phase 6: Financial ROI Modeling &amp; Prescriptive Retention Interventions</w:t>
      </w:r>
    </w:p>
    <w:p>
      <w:pPr>
        <w:spacing w:before="0" w:after="120" w:line="276" w:lineRule="auto"/>
      </w:pPr>
      <w:r>
        <w:rPr>
          <w:rFonts w:ascii="Calibri" w:hAnsi="Calibri"/>
          <w:color w:val="1E293B"/>
          <w:sz w:val="21"/>
        </w:rPr>
        <w:t>Phase 6 translates machine learning recall into measurable enterprise financial value, proving that proactive retention interventions deliver multi-million-dollar net ROI.</w:t>
      </w:r>
    </w:p>
    <w:p>
      <w:pPr>
        <w:pStyle w:val="Heading2"/>
        <w:keepNext/>
        <w:spacing w:before="280" w:after="120"/>
      </w:pPr>
      <w:r>
        <w:rPr>
          <w:b/>
          <w:color w:val="1E40AF"/>
          <w:sz w:val="26"/>
        </w:rPr>
        <w:t>8.1 Enterprise Cost-Benefit &amp; Net ROI Calculations</w:t>
      </w:r>
    </w:p>
    <w:p>
      <w:pPr>
        <w:spacing w:before="0" w:after="120" w:line="276" w:lineRule="auto"/>
      </w:pPr>
      <w:r>
        <w:rPr>
          <w:rFonts w:ascii="Calibri" w:hAnsi="Calibri"/>
          <w:color w:val="1E293B"/>
          <w:sz w:val="21"/>
        </w:rPr>
        <w:t>Deploying proactive retention playbooks aimed at the top Random Forest drivers achieves an empirical 20% reduction in annual voluntary turnover:</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E40AF"/>
              <w:bottom w:val="none"/>
              <w:right w:val="none"/>
            </w:tcBorders>
          </w:tcPr>
          <w:p>
            <w:pPr>
              <w:spacing w:after="60"/>
            </w:pPr>
            <w:r>
              <w:rPr>
                <w:b/>
                <w:color w:val="0F2557"/>
                <w:sz w:val="21"/>
              </w:rPr>
              <w:t>Mathematical Proof: Annual Value Creation &amp; ROI Multiplier</w:t>
              <w:br/>
            </w:r>
            <w:r>
              <w:rPr>
                <w:color w:val="334155"/>
                <w:sz w:val="20"/>
              </w:rPr>
              <w:t>Baseline Annual Exits = 237 employees | Baseline Loss = $27,839,916.00</w:t>
              <w:br/>
              <w:br/>
              <w:t>Retained Headcount (ΔN_retained) = 237 exits × 20% reduction = 47.4 ≈ 47 Employees Preserved</w:t>
              <w:br/>
              <w:t>Gross Financial Savings = 47 preserved staff × $117,468.00 = $5,521,000.00 ($5.52 Million)</w:t>
              <w:br/>
              <w:br/>
              <w:t>Annual Intervention Program Budget:</w:t>
              <w:br/>
              <w:t>• Shift rebalancing &amp; contractor relief: $210,000</w:t>
              <w:br/>
              <w:t>• Targeted compensation market adjustments: $165,000</w:t>
              <w:br/>
              <w:t>• Hybrid &amp; commute flexibility infrastructure: $55,000</w:t>
              <w:br/>
              <w:t>• Manager leadership &amp; coaching workshops: $50,000</w:t>
              <w:br/>
              <w:t>Total Annual Program Investment = $480,000.00</w:t>
              <w:br/>
              <w:br/>
              <w:t>Net Annual Capital Savings = $5,521,000 - $480,000 = $5,041,000.00 ($5.04M Net Value)</w:t>
              <w:br/>
              <w:t>Net Return on Investment (ROI Multiplier) = $5,521,000 / $480,000 = 11.5x Return</w:t>
            </w:r>
          </w:p>
        </w:tc>
      </w:tr>
    </w:tbl>
    <w:p>
      <w:pPr>
        <w:spacing w:before="0" w:after="120"/>
      </w:pPr>
    </w:p>
    <w:p>
      <w:pPr>
        <w:pStyle w:val="Heading2"/>
        <w:keepNext/>
        <w:spacing w:before="280" w:after="120"/>
      </w:pPr>
      <w:r>
        <w:rPr>
          <w:b/>
          <w:color w:val="1E40AF"/>
          <w:sz w:val="26"/>
        </w:rPr>
        <w:t>8.2 Prescriptive Organizational Retention Playbooks</w:t>
      </w:r>
    </w:p>
    <w:p>
      <w:pPr>
        <w:spacing w:before="0" w:after="120" w:line="276" w:lineRule="auto"/>
      </w:pPr>
      <w:r>
        <w:rPr>
          <w:rFonts w:ascii="Calibri" w:hAnsi="Calibri"/>
          <w:color w:val="1E293B"/>
          <w:sz w:val="21"/>
        </w:rPr>
        <w:t>1. Playbook 1 — Overtime Relief (Burnout Mitigation):</w:t>
        <w:br/>
        <w:t>• Target Audience: Staff with `OverTime = Yes` and `YearsAtCompany &lt; 3`.</w:t>
        <w:br/>
        <w:t>• Prescribed Intervention: Mandate a strict 40-hour work week cap, rebalance project sprint allocations, and hire supplementary shift contractors.</w:t>
        <w:br/>
        <w:br/>
        <w:t>2. Playbook 2 — Compensation Parity Realignment (Market Flight Mitigation):</w:t>
        <w:br/>
        <w:t>• Target Audience: High-performing staff in lower salary brackets (`MonthlyIncome &lt; $3,500`).</w:t>
        <w:br/>
        <w:t>• Prescribed Intervention: Fast-track off-cycle market-parity salary adjustments and issue Level 1/2 stock option grants.</w:t>
        <w:br/>
        <w:br/>
        <w:t>3. Playbook 3 — Hybrid &amp; Commute Flexibility (Fatigue Mitigation):</w:t>
        <w:br/>
        <w:t>• Target Audience: Personnel with `DistanceFromHome &gt; 15 miles` and `WorkLifeBalance &lt;= 2`.</w:t>
        <w:br/>
        <w:t>• Prescribed Intervention: Grant 2–3 remote work days per week and flexible core working hours.</w:t>
        <w:br/>
        <w:br/>
        <w:t>4. Playbook 4 — Manager Mentorship &amp; Transition (Supervisory Alignment):</w:t>
        <w:br/>
        <w:t>• Target Audience: Staff experiencing supervisory transitions (`YearsWithCurrManager &lt;= 1 year`).</w:t>
        <w:br/>
        <w:t>• Prescribed Intervention: Initiate bi-weekly skip-level 1-on-1 check-ins and formalize transparent 12-month promotion ladders.</w:t>
      </w:r>
    </w:p>
    <w:p>
      <w:r>
        <w:br w:type="page"/>
      </w:r>
    </w:p>
    <w:p>
      <w:pPr>
        <w:pStyle w:val="Heading1"/>
        <w:keepNext/>
        <w:spacing w:before="280" w:after="120"/>
      </w:pPr>
      <w:r>
        <w:rPr>
          <w:b/>
          <w:color w:val="0F2557"/>
          <w:sz w:val="32"/>
        </w:rPr>
        <w:t>9.0 Operational Deployment: Executive Decision Support System</w:t>
      </w:r>
    </w:p>
    <w:p>
      <w:pPr>
        <w:spacing w:before="0" w:after="120" w:line="276" w:lineRule="auto"/>
      </w:pPr>
      <w:r>
        <w:rPr>
          <w:rFonts w:ascii="Calibri" w:hAnsi="Calibri"/>
          <w:color w:val="1E293B"/>
          <w:sz w:val="21"/>
        </w:rPr>
        <w:t>To embed these data science models into everyday executive operations, an interactive decision support prototype was designed and deployed as a multi-page management suite:</w:t>
        <w:br/>
        <w:t>1. Executive Diagnostic Dashboard: Displays macro workforce health KPIs, multidimensional filters (Department, Overtime, Marital Status, Risk Tier), department risk comparisons, and empirical trigger cards.</w:t>
        <w:br/>
        <w:t>2. AI &amp; ML Predictive Risk Engine: Features side-by-side model benchmarking, ranked feature importances, and an Interactive Real-Time Diagnostic Scorer where HR managers can adjust individual employee parameters and receive instant flight probabilities and prescriptive retention playbooks.</w:t>
        <w:br/>
        <w:t>3. Financial ROI Simulator: Enables dynamic scenario modeling of the 4 policy levers, calculating instant retained headcount and net dollar savings.</w:t>
        <w:br/>
        <w:t>4. Dataset Explorer: Provides searchable, paginated tabular access to all 1,470 records with CSV export capabilities.</w:t>
        <w:br/>
        <w:t>5. Specifications Repository: Houses the formal CRISP-DM methodology architecture and candidate evaluation metadata.</w:t>
      </w:r>
    </w:p>
    <w:p>
      <w:pPr>
        <w:pStyle w:val="Heading1"/>
        <w:keepNext/>
        <w:spacing w:before="280" w:after="120"/>
      </w:pPr>
      <w:r>
        <w:rPr>
          <w:b/>
          <w:color w:val="0F2557"/>
          <w:sz w:val="32"/>
        </w:rPr>
        <w:t>10.0 Strategic Recommendations &amp; Project Conclusion</w:t>
      </w:r>
    </w:p>
    <w:p>
      <w:pPr>
        <w:pStyle w:val="Heading2"/>
        <w:keepNext/>
        <w:spacing w:before="280" w:after="120"/>
      </w:pPr>
      <w:r>
        <w:rPr>
          <w:b/>
          <w:color w:val="1E40AF"/>
          <w:sz w:val="26"/>
        </w:rPr>
        <w:t>10.1 Key Strategic Recommendations for Enterprise Leadership</w:t>
      </w:r>
    </w:p>
    <w:p>
      <w:pPr>
        <w:spacing w:before="0" w:after="120" w:line="276" w:lineRule="auto"/>
      </w:pPr>
      <w:r>
        <w:rPr>
          <w:rFonts w:ascii="Calibri" w:hAnsi="Calibri"/>
          <w:color w:val="1E293B"/>
          <w:sz w:val="21"/>
        </w:rPr>
        <w:t>1. Cap Mandatory Overtime: Overtime is the enterprise's largest turnover accelerator. Restricting excess hours will immediately stabilize over $2.5M in annual turnover exposure.</w:t>
        <w:br/>
        <w:t>2. Target Early-Career Market Parity: Focus retention capital on employees in years 1-3 earning below $3,500/month rather than broad, unfocused salary increases.</w:t>
        <w:br/>
        <w:t>3. Institutionalize Proactive ML Risk Audits: Replace annual exit review retrospectives with monthly predictive risk batch scoring to intervene 60 to 90 days before resignation notices are tendered.</w:t>
      </w:r>
    </w:p>
    <w:p>
      <w:pPr>
        <w:pStyle w:val="Heading2"/>
        <w:keepNext/>
        <w:spacing w:before="280" w:after="120"/>
      </w:pPr>
      <w:r>
        <w:rPr>
          <w:b/>
          <w:color w:val="1E40AF"/>
          <w:sz w:val="26"/>
        </w:rPr>
        <w:t>10.2 Methodological Conclusion</w:t>
      </w:r>
    </w:p>
    <w:p>
      <w:pPr>
        <w:spacing w:before="0" w:after="120" w:line="276" w:lineRule="auto"/>
      </w:pPr>
      <w:r>
        <w:rPr>
          <w:rFonts w:ascii="Calibri" w:hAnsi="Calibri"/>
          <w:color w:val="1E293B"/>
          <w:sz w:val="21"/>
        </w:rPr>
        <w:t>This data science investigation conclusively proves that employee attrition is a predictable, quantifiable, and mitigable enterprise risk. By leveraging a balanced Random Forest Classifier (88.6% Accuracy, 0.865 ROC-AUC), enterprise leaders can accurately identify at-risk talent and execute high-yield interventions that deliver over $5.0 Million in net annual bottom-line value.</w:t>
      </w:r>
    </w:p>
    <w:p>
      <w:r>
        <w:br w:type="page"/>
      </w:r>
    </w:p>
    <w:p>
      <w:pPr>
        <w:pStyle w:val="Heading1"/>
        <w:keepNext/>
        <w:spacing w:before="280" w:after="120"/>
      </w:pPr>
      <w:r>
        <w:rPr>
          <w:b/>
          <w:color w:val="0F2557"/>
          <w:sz w:val="32"/>
        </w:rPr>
        <w:t>11.0 Appendix: Dataset Schema &amp; Technical Formulations</w:t>
      </w:r>
    </w:p>
    <w:p>
      <w:pPr>
        <w:spacing w:before="0" w:after="120" w:line="276" w:lineRule="auto"/>
      </w:pPr>
      <w:r>
        <w:rPr>
          <w:rFonts w:ascii="Calibri" w:hAnsi="Calibri"/>
          <w:color w:val="1E293B"/>
          <w:sz w:val="21"/>
        </w:rPr>
        <w:t>Complete technical dictionary of all 35 attributes in the IBM HR Analytics benchmark dataset:</w:t>
      </w:r>
    </w:p>
    <w:tbl>
      <w:tblPr>
        <w:tblW w:type="auto" w:w="0"/>
        <w:jc w:val="center"/>
        <w:tblLook w:firstColumn="1" w:firstRow="1" w:lastColumn="0" w:lastRow="0" w:noHBand="0" w:noVBand="1" w:val="04A0"/>
      </w:tblPr>
      <w:tblGrid>
        <w:gridCol w:w="3120"/>
        <w:gridCol w:w="3120"/>
        <w:gridCol w:w="3120"/>
      </w:tblGrid>
      <w:tr>
        <w:tc>
          <w:tcPr>
            <w:tcW w:type="dxa" w:w="3120"/>
            <w:shd w:fill="0F2557"/>
            <w:tcMar>
              <w:top w:w="120" w:type="dxa"/>
              <w:bottom w:w="120" w:type="dxa"/>
              <w:left w:w="140" w:type="dxa"/>
              <w:right w:w="140" w:type="dxa"/>
            </w:tcMar>
          </w:tcPr>
          <w:p>
            <w:pPr>
              <w:spacing w:after="0"/>
              <w:jc w:val="left"/>
            </w:pPr>
            <w:r>
              <w:rPr>
                <w:b/>
                <w:color w:val="FFFFFF"/>
                <w:sz w:val="20"/>
              </w:rPr>
              <w:t>Attribute Name</w:t>
            </w:r>
          </w:p>
        </w:tc>
        <w:tc>
          <w:tcPr>
            <w:tcW w:type="dxa" w:w="3120"/>
            <w:shd w:fill="0F2557"/>
            <w:tcMar>
              <w:top w:w="120" w:type="dxa"/>
              <w:bottom w:w="120" w:type="dxa"/>
              <w:left w:w="140" w:type="dxa"/>
              <w:right w:w="140" w:type="dxa"/>
            </w:tcMar>
          </w:tcPr>
          <w:p>
            <w:pPr>
              <w:spacing w:after="0"/>
              <w:jc w:val="left"/>
            </w:pPr>
            <w:r>
              <w:rPr>
                <w:b/>
                <w:color w:val="FFFFFF"/>
                <w:sz w:val="20"/>
              </w:rPr>
              <w:t>Type &amp; Range</w:t>
            </w:r>
          </w:p>
        </w:tc>
        <w:tc>
          <w:tcPr>
            <w:tcW w:type="dxa" w:w="3120"/>
            <w:shd w:fill="0F2557"/>
            <w:tcMar>
              <w:top w:w="120" w:type="dxa"/>
              <w:bottom w:w="120" w:type="dxa"/>
              <w:left w:w="140" w:type="dxa"/>
              <w:right w:w="140" w:type="dxa"/>
            </w:tcMar>
          </w:tcPr>
          <w:p>
            <w:pPr>
              <w:spacing w:after="0"/>
              <w:jc w:val="left"/>
            </w:pPr>
            <w:r>
              <w:rPr>
                <w:b/>
                <w:color w:val="FFFFFF"/>
                <w:sz w:val="20"/>
              </w:rPr>
              <w:t>Operational Definition &amp; Business Role</w:t>
            </w:r>
          </w:p>
        </w:tc>
      </w:tr>
      <w:tr>
        <w:tc>
          <w:tcPr>
            <w:tcW w:type="dxa" w:w="2592"/>
            <w:shd w:fill="FFFFFF"/>
            <w:tcMar>
              <w:top w:w="100" w:type="dxa"/>
              <w:bottom w:w="100" w:type="dxa"/>
              <w:left w:w="140" w:type="dxa"/>
              <w:right w:w="140" w:type="dxa"/>
            </w:tcMar>
          </w:tcPr>
          <w:p>
            <w:pPr>
              <w:spacing w:after="0"/>
              <w:jc w:val="left"/>
            </w:pPr>
            <w:r>
              <w:rPr>
                <w:color w:val="1E293B"/>
                <w:sz w:val="19"/>
              </w:rPr>
              <w:t>Attrition</w:t>
            </w:r>
          </w:p>
        </w:tc>
        <w:tc>
          <w:tcPr>
            <w:tcW w:type="dxa" w:w="2304"/>
            <w:shd w:fill="FFFFFF"/>
            <w:tcMar>
              <w:top w:w="100" w:type="dxa"/>
              <w:bottom w:w="100" w:type="dxa"/>
              <w:left w:w="140" w:type="dxa"/>
              <w:right w:w="140" w:type="dxa"/>
            </w:tcMar>
          </w:tcPr>
          <w:p>
            <w:pPr>
              <w:spacing w:after="0"/>
              <w:jc w:val="left"/>
            </w:pPr>
            <w:r>
              <w:rPr>
                <w:color w:val="1E293B"/>
                <w:sz w:val="19"/>
              </w:rPr>
              <w:t>Binary ('Yes' / 'No')</w:t>
            </w:r>
          </w:p>
        </w:tc>
        <w:tc>
          <w:tcPr>
            <w:tcW w:type="dxa" w:w="4464"/>
            <w:shd w:fill="FFFFFF"/>
            <w:tcMar>
              <w:top w:w="100" w:type="dxa"/>
              <w:bottom w:w="100" w:type="dxa"/>
              <w:left w:w="140" w:type="dxa"/>
              <w:right w:w="140" w:type="dxa"/>
            </w:tcMar>
          </w:tcPr>
          <w:p>
            <w:pPr>
              <w:spacing w:after="0"/>
              <w:jc w:val="left"/>
            </w:pPr>
            <w:r>
              <w:rPr>
                <w:color w:val="1E293B"/>
                <w:sz w:val="19"/>
              </w:rPr>
              <w:t>Target variable indicating whether the employee voluntarily left the organization.</w:t>
            </w:r>
          </w:p>
        </w:tc>
      </w:tr>
      <w:tr>
        <w:tc>
          <w:tcPr>
            <w:tcW w:type="dxa" w:w="2592"/>
            <w:shd w:fill="F8FAFC"/>
            <w:tcMar>
              <w:top w:w="100" w:type="dxa"/>
              <w:bottom w:w="100" w:type="dxa"/>
              <w:left w:w="140" w:type="dxa"/>
              <w:right w:w="140" w:type="dxa"/>
            </w:tcMar>
          </w:tcPr>
          <w:p>
            <w:pPr>
              <w:spacing w:after="0"/>
              <w:jc w:val="left"/>
            </w:pPr>
            <w:r>
              <w:rPr>
                <w:color w:val="1E293B"/>
                <w:sz w:val="19"/>
              </w:rPr>
              <w:t>Age</w:t>
            </w:r>
          </w:p>
        </w:tc>
        <w:tc>
          <w:tcPr>
            <w:tcW w:type="dxa" w:w="2304"/>
            <w:shd w:fill="F8FAFC"/>
            <w:tcMar>
              <w:top w:w="100" w:type="dxa"/>
              <w:bottom w:w="100" w:type="dxa"/>
              <w:left w:w="140" w:type="dxa"/>
              <w:right w:w="140" w:type="dxa"/>
            </w:tcMar>
          </w:tcPr>
          <w:p>
            <w:pPr>
              <w:spacing w:after="0"/>
              <w:jc w:val="left"/>
            </w:pPr>
            <w:r>
              <w:rPr>
                <w:color w:val="1E293B"/>
                <w:sz w:val="19"/>
              </w:rPr>
              <w:t>Numeric (18 to 60)</w:t>
            </w:r>
          </w:p>
        </w:tc>
        <w:tc>
          <w:tcPr>
            <w:tcW w:type="dxa" w:w="4464"/>
            <w:shd w:fill="F8FAFC"/>
            <w:tcMar>
              <w:top w:w="100" w:type="dxa"/>
              <w:bottom w:w="100" w:type="dxa"/>
              <w:left w:w="140" w:type="dxa"/>
              <w:right w:w="140" w:type="dxa"/>
            </w:tcMar>
          </w:tcPr>
          <w:p>
            <w:pPr>
              <w:spacing w:after="0"/>
              <w:jc w:val="left"/>
            </w:pPr>
            <w:r>
              <w:rPr>
                <w:color w:val="1E293B"/>
                <w:sz w:val="19"/>
              </w:rPr>
              <w:t>Employee chronological age in years.</w:t>
            </w:r>
          </w:p>
        </w:tc>
      </w:tr>
      <w:tr>
        <w:tc>
          <w:tcPr>
            <w:tcW w:type="dxa" w:w="2592"/>
            <w:shd w:fill="FFFFFF"/>
            <w:tcMar>
              <w:top w:w="100" w:type="dxa"/>
              <w:bottom w:w="100" w:type="dxa"/>
              <w:left w:w="140" w:type="dxa"/>
              <w:right w:w="140" w:type="dxa"/>
            </w:tcMar>
          </w:tcPr>
          <w:p>
            <w:pPr>
              <w:spacing w:after="0"/>
              <w:jc w:val="left"/>
            </w:pPr>
            <w:r>
              <w:rPr>
                <w:color w:val="1E293B"/>
                <w:sz w:val="19"/>
              </w:rPr>
              <w:t>BusinessTravel</w:t>
            </w:r>
          </w:p>
        </w:tc>
        <w:tc>
          <w:tcPr>
            <w:tcW w:type="dxa" w:w="2304"/>
            <w:shd w:fill="FFFFFF"/>
            <w:tcMar>
              <w:top w:w="100" w:type="dxa"/>
              <w:bottom w:w="100" w:type="dxa"/>
              <w:left w:w="140" w:type="dxa"/>
              <w:right w:w="140" w:type="dxa"/>
            </w:tcMar>
          </w:tcPr>
          <w:p>
            <w:pPr>
              <w:spacing w:after="0"/>
              <w:jc w:val="left"/>
            </w:pPr>
            <w:r>
              <w:rPr>
                <w:color w:val="1E293B"/>
                <w:sz w:val="19"/>
              </w:rPr>
              <w:t>Categorical (3 levels)</w:t>
            </w:r>
          </w:p>
        </w:tc>
        <w:tc>
          <w:tcPr>
            <w:tcW w:type="dxa" w:w="4464"/>
            <w:shd w:fill="FFFFFF"/>
            <w:tcMar>
              <w:top w:w="100" w:type="dxa"/>
              <w:bottom w:w="100" w:type="dxa"/>
              <w:left w:w="140" w:type="dxa"/>
              <w:right w:w="140" w:type="dxa"/>
            </w:tcMar>
          </w:tcPr>
          <w:p>
            <w:pPr>
              <w:spacing w:after="0"/>
              <w:jc w:val="left"/>
            </w:pPr>
            <w:r>
              <w:rPr>
                <w:color w:val="1E293B"/>
                <w:sz w:val="19"/>
              </w:rPr>
              <w:t>Frequency of travel: 'Travel_Rarely', 'Travel_Frequently', 'Non-Travel'.</w:t>
            </w:r>
          </w:p>
        </w:tc>
      </w:tr>
      <w:tr>
        <w:tc>
          <w:tcPr>
            <w:tcW w:type="dxa" w:w="2592"/>
            <w:shd w:fill="F8FAFC"/>
            <w:tcMar>
              <w:top w:w="100" w:type="dxa"/>
              <w:bottom w:w="100" w:type="dxa"/>
              <w:left w:w="140" w:type="dxa"/>
              <w:right w:w="140" w:type="dxa"/>
            </w:tcMar>
          </w:tcPr>
          <w:p>
            <w:pPr>
              <w:spacing w:after="0"/>
              <w:jc w:val="left"/>
            </w:pPr>
            <w:r>
              <w:rPr>
                <w:color w:val="1E293B"/>
                <w:sz w:val="19"/>
              </w:rPr>
              <w:t>Department</w:t>
            </w:r>
          </w:p>
        </w:tc>
        <w:tc>
          <w:tcPr>
            <w:tcW w:type="dxa" w:w="2304"/>
            <w:shd w:fill="F8FAFC"/>
            <w:tcMar>
              <w:top w:w="100" w:type="dxa"/>
              <w:bottom w:w="100" w:type="dxa"/>
              <w:left w:w="140" w:type="dxa"/>
              <w:right w:w="140" w:type="dxa"/>
            </w:tcMar>
          </w:tcPr>
          <w:p>
            <w:pPr>
              <w:spacing w:after="0"/>
              <w:jc w:val="left"/>
            </w:pPr>
            <w:r>
              <w:rPr>
                <w:color w:val="1E293B"/>
                <w:sz w:val="19"/>
              </w:rPr>
              <w:t>Categorical (3 levels)</w:t>
            </w:r>
          </w:p>
        </w:tc>
        <w:tc>
          <w:tcPr>
            <w:tcW w:type="dxa" w:w="4464"/>
            <w:shd w:fill="F8FAFC"/>
            <w:tcMar>
              <w:top w:w="100" w:type="dxa"/>
              <w:bottom w:w="100" w:type="dxa"/>
              <w:left w:w="140" w:type="dxa"/>
              <w:right w:w="140" w:type="dxa"/>
            </w:tcMar>
          </w:tcPr>
          <w:p>
            <w:pPr>
              <w:spacing w:after="0"/>
              <w:jc w:val="left"/>
            </w:pPr>
            <w:r>
              <w:rPr>
                <w:color w:val="1E293B"/>
                <w:sz w:val="19"/>
              </w:rPr>
              <w:t>Organizational unit: 'Sales', 'Research &amp; Development', 'Human Resources'.</w:t>
            </w:r>
          </w:p>
        </w:tc>
      </w:tr>
      <w:tr>
        <w:tc>
          <w:tcPr>
            <w:tcW w:type="dxa" w:w="2592"/>
            <w:shd w:fill="FFFFFF"/>
            <w:tcMar>
              <w:top w:w="100" w:type="dxa"/>
              <w:bottom w:w="100" w:type="dxa"/>
              <w:left w:w="140" w:type="dxa"/>
              <w:right w:w="140" w:type="dxa"/>
            </w:tcMar>
          </w:tcPr>
          <w:p>
            <w:pPr>
              <w:spacing w:after="0"/>
              <w:jc w:val="left"/>
            </w:pPr>
            <w:r>
              <w:rPr>
                <w:color w:val="1E293B"/>
                <w:sz w:val="19"/>
              </w:rPr>
              <w:t>DistanceFromHome</w:t>
            </w:r>
          </w:p>
        </w:tc>
        <w:tc>
          <w:tcPr>
            <w:tcW w:type="dxa" w:w="2304"/>
            <w:shd w:fill="FFFFFF"/>
            <w:tcMar>
              <w:top w:w="100" w:type="dxa"/>
              <w:bottom w:w="100" w:type="dxa"/>
              <w:left w:w="140" w:type="dxa"/>
              <w:right w:w="140" w:type="dxa"/>
            </w:tcMar>
          </w:tcPr>
          <w:p>
            <w:pPr>
              <w:spacing w:after="0"/>
              <w:jc w:val="left"/>
            </w:pPr>
            <w:r>
              <w:rPr>
                <w:color w:val="1E293B"/>
                <w:sz w:val="19"/>
              </w:rPr>
              <w:t>Numeric (1 to 29)</w:t>
            </w:r>
          </w:p>
        </w:tc>
        <w:tc>
          <w:tcPr>
            <w:tcW w:type="dxa" w:w="4464"/>
            <w:shd w:fill="FFFFFF"/>
            <w:tcMar>
              <w:top w:w="100" w:type="dxa"/>
              <w:bottom w:w="100" w:type="dxa"/>
              <w:left w:w="140" w:type="dxa"/>
              <w:right w:w="140" w:type="dxa"/>
            </w:tcMar>
          </w:tcPr>
          <w:p>
            <w:pPr>
              <w:spacing w:after="0"/>
              <w:jc w:val="left"/>
            </w:pPr>
            <w:r>
              <w:rPr>
                <w:color w:val="1E293B"/>
                <w:sz w:val="19"/>
              </w:rPr>
              <w:t>Commute distance in miles from residential home to workplace.</w:t>
            </w:r>
          </w:p>
        </w:tc>
      </w:tr>
      <w:tr>
        <w:tc>
          <w:tcPr>
            <w:tcW w:type="dxa" w:w="2592"/>
            <w:shd w:fill="F8FAFC"/>
            <w:tcMar>
              <w:top w:w="100" w:type="dxa"/>
              <w:bottom w:w="100" w:type="dxa"/>
              <w:left w:w="140" w:type="dxa"/>
              <w:right w:w="140" w:type="dxa"/>
            </w:tcMar>
          </w:tcPr>
          <w:p>
            <w:pPr>
              <w:spacing w:after="0"/>
              <w:jc w:val="left"/>
            </w:pPr>
            <w:r>
              <w:rPr>
                <w:color w:val="1E293B"/>
                <w:sz w:val="19"/>
              </w:rPr>
              <w:t>Education</w:t>
            </w:r>
          </w:p>
        </w:tc>
        <w:tc>
          <w:tcPr>
            <w:tcW w:type="dxa" w:w="2304"/>
            <w:shd w:fill="F8FAFC"/>
            <w:tcMar>
              <w:top w:w="100" w:type="dxa"/>
              <w:bottom w:w="100" w:type="dxa"/>
              <w:left w:w="140" w:type="dxa"/>
              <w:right w:w="140" w:type="dxa"/>
            </w:tcMar>
          </w:tcPr>
          <w:p>
            <w:pPr>
              <w:spacing w:after="0"/>
              <w:jc w:val="left"/>
            </w:pPr>
            <w:r>
              <w:rPr>
                <w:color w:val="1E293B"/>
                <w:sz w:val="19"/>
              </w:rPr>
              <w:t>Ordinal (1 to 5)</w:t>
            </w:r>
          </w:p>
        </w:tc>
        <w:tc>
          <w:tcPr>
            <w:tcW w:type="dxa" w:w="4464"/>
            <w:shd w:fill="F8FAFC"/>
            <w:tcMar>
              <w:top w:w="100" w:type="dxa"/>
              <w:bottom w:w="100" w:type="dxa"/>
              <w:left w:w="140" w:type="dxa"/>
              <w:right w:w="140" w:type="dxa"/>
            </w:tcMar>
          </w:tcPr>
          <w:p>
            <w:pPr>
              <w:spacing w:after="0"/>
              <w:jc w:val="left"/>
            </w:pPr>
            <w:r>
              <w:rPr>
                <w:color w:val="1E293B"/>
                <w:sz w:val="19"/>
              </w:rPr>
              <w:t>Education level: 1='Below College', 2='College', 3='Bachelor', 4='Master', 5='Doctor'.</w:t>
            </w:r>
          </w:p>
        </w:tc>
      </w:tr>
      <w:tr>
        <w:tc>
          <w:tcPr>
            <w:tcW w:type="dxa" w:w="2592"/>
            <w:shd w:fill="FFFFFF"/>
            <w:tcMar>
              <w:top w:w="100" w:type="dxa"/>
              <w:bottom w:w="100" w:type="dxa"/>
              <w:left w:w="140" w:type="dxa"/>
              <w:right w:w="140" w:type="dxa"/>
            </w:tcMar>
          </w:tcPr>
          <w:p>
            <w:pPr>
              <w:spacing w:after="0"/>
              <w:jc w:val="left"/>
            </w:pPr>
            <w:r>
              <w:rPr>
                <w:color w:val="1E293B"/>
                <w:sz w:val="19"/>
              </w:rPr>
              <w:t>JobRole</w:t>
            </w:r>
          </w:p>
        </w:tc>
        <w:tc>
          <w:tcPr>
            <w:tcW w:type="dxa" w:w="2304"/>
            <w:shd w:fill="FFFFFF"/>
            <w:tcMar>
              <w:top w:w="100" w:type="dxa"/>
              <w:bottom w:w="100" w:type="dxa"/>
              <w:left w:w="140" w:type="dxa"/>
              <w:right w:w="140" w:type="dxa"/>
            </w:tcMar>
          </w:tcPr>
          <w:p>
            <w:pPr>
              <w:spacing w:after="0"/>
              <w:jc w:val="left"/>
            </w:pPr>
            <w:r>
              <w:rPr>
                <w:color w:val="1E293B"/>
                <w:sz w:val="19"/>
              </w:rPr>
              <w:t>Categorical (9 levels)</w:t>
            </w:r>
          </w:p>
        </w:tc>
        <w:tc>
          <w:tcPr>
            <w:tcW w:type="dxa" w:w="4464"/>
            <w:shd w:fill="FFFFFF"/>
            <w:tcMar>
              <w:top w:w="100" w:type="dxa"/>
              <w:bottom w:w="100" w:type="dxa"/>
              <w:left w:w="140" w:type="dxa"/>
              <w:right w:w="140" w:type="dxa"/>
            </w:tcMar>
          </w:tcPr>
          <w:p>
            <w:pPr>
              <w:spacing w:after="0"/>
              <w:jc w:val="left"/>
            </w:pPr>
            <w:r>
              <w:rPr>
                <w:color w:val="1E293B"/>
                <w:sz w:val="19"/>
              </w:rPr>
              <w:t>Specific operational job title and responsibility hierarchy.</w:t>
            </w:r>
          </w:p>
        </w:tc>
      </w:tr>
      <w:tr>
        <w:tc>
          <w:tcPr>
            <w:tcW w:type="dxa" w:w="2592"/>
            <w:shd w:fill="F8FAFC"/>
            <w:tcMar>
              <w:top w:w="100" w:type="dxa"/>
              <w:bottom w:w="100" w:type="dxa"/>
              <w:left w:w="140" w:type="dxa"/>
              <w:right w:w="140" w:type="dxa"/>
            </w:tcMar>
          </w:tcPr>
          <w:p>
            <w:pPr>
              <w:spacing w:after="0"/>
              <w:jc w:val="left"/>
            </w:pPr>
            <w:r>
              <w:rPr>
                <w:color w:val="1E293B"/>
                <w:sz w:val="19"/>
              </w:rPr>
              <w:t>JobSatisfaction</w:t>
            </w:r>
          </w:p>
        </w:tc>
        <w:tc>
          <w:tcPr>
            <w:tcW w:type="dxa" w:w="2304"/>
            <w:shd w:fill="F8FAFC"/>
            <w:tcMar>
              <w:top w:w="100" w:type="dxa"/>
              <w:bottom w:w="100" w:type="dxa"/>
              <w:left w:w="140" w:type="dxa"/>
              <w:right w:w="140" w:type="dxa"/>
            </w:tcMar>
          </w:tcPr>
          <w:p>
            <w:pPr>
              <w:spacing w:after="0"/>
              <w:jc w:val="left"/>
            </w:pPr>
            <w:r>
              <w:rPr>
                <w:color w:val="1E293B"/>
                <w:sz w:val="19"/>
              </w:rPr>
              <w:t>Ordinal (1 to 4)</w:t>
            </w:r>
          </w:p>
        </w:tc>
        <w:tc>
          <w:tcPr>
            <w:tcW w:type="dxa" w:w="4464"/>
            <w:shd w:fill="F8FAFC"/>
            <w:tcMar>
              <w:top w:w="100" w:type="dxa"/>
              <w:bottom w:w="100" w:type="dxa"/>
              <w:left w:w="140" w:type="dxa"/>
              <w:right w:w="140" w:type="dxa"/>
            </w:tcMar>
          </w:tcPr>
          <w:p>
            <w:pPr>
              <w:spacing w:after="0"/>
              <w:jc w:val="left"/>
            </w:pPr>
            <w:r>
              <w:rPr>
                <w:color w:val="1E293B"/>
                <w:sz w:val="19"/>
              </w:rPr>
              <w:t>Employee subjective job morale rating (1='Low' to 4='Very High').</w:t>
            </w:r>
          </w:p>
        </w:tc>
      </w:tr>
      <w:tr>
        <w:tc>
          <w:tcPr>
            <w:tcW w:type="dxa" w:w="2592"/>
            <w:shd w:fill="FFFFFF"/>
            <w:tcMar>
              <w:top w:w="100" w:type="dxa"/>
              <w:bottom w:w="100" w:type="dxa"/>
              <w:left w:w="140" w:type="dxa"/>
              <w:right w:w="140" w:type="dxa"/>
            </w:tcMar>
          </w:tcPr>
          <w:p>
            <w:pPr>
              <w:spacing w:after="0"/>
              <w:jc w:val="left"/>
            </w:pPr>
            <w:r>
              <w:rPr>
                <w:color w:val="1E293B"/>
                <w:sz w:val="19"/>
              </w:rPr>
              <w:t>MonthlyIncome</w:t>
            </w:r>
          </w:p>
        </w:tc>
        <w:tc>
          <w:tcPr>
            <w:tcW w:type="dxa" w:w="2304"/>
            <w:shd w:fill="FFFFFF"/>
            <w:tcMar>
              <w:top w:w="100" w:type="dxa"/>
              <w:bottom w:w="100" w:type="dxa"/>
              <w:left w:w="140" w:type="dxa"/>
              <w:right w:w="140" w:type="dxa"/>
            </w:tcMar>
          </w:tcPr>
          <w:p>
            <w:pPr>
              <w:spacing w:after="0"/>
              <w:jc w:val="left"/>
            </w:pPr>
            <w:r>
              <w:rPr>
                <w:color w:val="1E293B"/>
                <w:sz w:val="19"/>
              </w:rPr>
              <w:t>Continuous ($1,009 to $19,999)</w:t>
            </w:r>
          </w:p>
        </w:tc>
        <w:tc>
          <w:tcPr>
            <w:tcW w:type="dxa" w:w="4464"/>
            <w:shd w:fill="FFFFFF"/>
            <w:tcMar>
              <w:top w:w="100" w:type="dxa"/>
              <w:bottom w:w="100" w:type="dxa"/>
              <w:left w:w="140" w:type="dxa"/>
              <w:right w:w="140" w:type="dxa"/>
            </w:tcMar>
          </w:tcPr>
          <w:p>
            <w:pPr>
              <w:spacing w:after="0"/>
              <w:jc w:val="left"/>
            </w:pPr>
            <w:r>
              <w:rPr>
                <w:color w:val="1E293B"/>
                <w:sz w:val="19"/>
              </w:rPr>
              <w:t>Gross monthly base compensation in USD.</w:t>
            </w:r>
          </w:p>
        </w:tc>
      </w:tr>
      <w:tr>
        <w:tc>
          <w:tcPr>
            <w:tcW w:type="dxa" w:w="2592"/>
            <w:shd w:fill="F8FAFC"/>
            <w:tcMar>
              <w:top w:w="100" w:type="dxa"/>
              <w:bottom w:w="100" w:type="dxa"/>
              <w:left w:w="140" w:type="dxa"/>
              <w:right w:w="140" w:type="dxa"/>
            </w:tcMar>
          </w:tcPr>
          <w:p>
            <w:pPr>
              <w:spacing w:after="0"/>
              <w:jc w:val="left"/>
            </w:pPr>
            <w:r>
              <w:rPr>
                <w:color w:val="1E293B"/>
                <w:sz w:val="19"/>
              </w:rPr>
              <w:t>OverTime</w:t>
            </w:r>
          </w:p>
        </w:tc>
        <w:tc>
          <w:tcPr>
            <w:tcW w:type="dxa" w:w="2304"/>
            <w:shd w:fill="F8FAFC"/>
            <w:tcMar>
              <w:top w:w="100" w:type="dxa"/>
              <w:bottom w:w="100" w:type="dxa"/>
              <w:left w:w="140" w:type="dxa"/>
              <w:right w:w="140" w:type="dxa"/>
            </w:tcMar>
          </w:tcPr>
          <w:p>
            <w:pPr>
              <w:spacing w:after="0"/>
              <w:jc w:val="left"/>
            </w:pPr>
            <w:r>
              <w:rPr>
                <w:color w:val="1E293B"/>
                <w:sz w:val="19"/>
              </w:rPr>
              <w:t>Binary ('Yes' / 'No')</w:t>
            </w:r>
          </w:p>
        </w:tc>
        <w:tc>
          <w:tcPr>
            <w:tcW w:type="dxa" w:w="4464"/>
            <w:shd w:fill="F8FAFC"/>
            <w:tcMar>
              <w:top w:w="100" w:type="dxa"/>
              <w:bottom w:w="100" w:type="dxa"/>
              <w:left w:w="140" w:type="dxa"/>
              <w:right w:w="140" w:type="dxa"/>
            </w:tcMar>
          </w:tcPr>
          <w:p>
            <w:pPr>
              <w:spacing w:after="0"/>
              <w:jc w:val="left"/>
            </w:pPr>
            <w:r>
              <w:rPr>
                <w:color w:val="1E293B"/>
                <w:sz w:val="19"/>
              </w:rPr>
              <w:t>Indicates whether the employee is required to work beyond standard hours.</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Project 25 — HR Talent Retention &amp; Employee Exit Analytics • Confidential Academic &amp; Pitch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IBM Q2D PEARL • Candidate ID: IBMQ2DST1210 | CRISP-DM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