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ASCENSION</w:t>
        <w:br/>
        <w:t>Volume 19 – Security, Privacy, Identity &amp; Trust Framework</w:t>
        <w:br/>
        <w:t>Blueprint (Foundation)</w:t>
      </w:r>
    </w:p>
    <w:p>
      <w:r>
        <w:t>Purpose: Define the complete security, privacy and trust architecture for Project ASCENSION. This volume establishes how user identities, personal data, AI interactions, permissions, authentication and platform security are protected throughout the ecosystem.</w:t>
      </w:r>
    </w:p>
    <w:p>
      <w:pPr>
        <w:pStyle w:val="Heading1"/>
      </w:pPr>
      <w:r>
        <w:t>1. Executive Summary</w:t>
      </w:r>
    </w:p>
    <w:p>
      <w:r>
        <w:t>Overview of the security philosophy and trust model.</w:t>
      </w:r>
    </w:p>
    <w:p>
      <w:pPr>
        <w:pStyle w:val="Heading1"/>
      </w:pPr>
      <w:r>
        <w:t>2. Design Goals</w:t>
      </w:r>
    </w:p>
    <w:p>
      <w:r>
        <w:t>Protect user data, preserve privacy, maintain transparency, comply with regulations and build user trust.</w:t>
      </w:r>
    </w:p>
    <w:p>
      <w:pPr>
        <w:pStyle w:val="Heading1"/>
      </w:pPr>
      <w:r>
        <w:t>3. Identity Management</w:t>
      </w:r>
    </w:p>
    <w:p>
      <w:r>
        <w:t>User accounts, authentication, authorization, roles, permissions, account recovery and profile ownership.</w:t>
      </w:r>
    </w:p>
    <w:p>
      <w:pPr>
        <w:pStyle w:val="Heading1"/>
      </w:pPr>
      <w:r>
        <w:t>4. Authentication</w:t>
      </w:r>
    </w:p>
    <w:p>
      <w:r>
        <w:t>Email, passkeys, OAuth, multi-factor authentication, biometric login, device trust and session management.</w:t>
      </w:r>
    </w:p>
    <w:p>
      <w:pPr>
        <w:pStyle w:val="Heading1"/>
      </w:pPr>
      <w:r>
        <w:t>5. Authorization</w:t>
      </w:r>
    </w:p>
    <w:p>
      <w:r>
        <w:t>Role-based access control, fine-grained permissions, feature gating and administrator privileges.</w:t>
      </w:r>
    </w:p>
    <w:p>
      <w:pPr>
        <w:pStyle w:val="Heading1"/>
      </w:pPr>
      <w:r>
        <w:t>6. Privacy Architecture</w:t>
      </w:r>
    </w:p>
    <w:p>
      <w:r>
        <w:t>Consent management, data minimization, retention policies, anonymization and user-controlled sharing.</w:t>
      </w:r>
    </w:p>
    <w:p>
      <w:pPr>
        <w:pStyle w:val="Heading1"/>
      </w:pPr>
      <w:r>
        <w:t>7. Data Protection</w:t>
      </w:r>
    </w:p>
    <w:p>
      <w:r>
        <w:t>Encryption at rest and in transit, secure backups, key management, secrets management and audit logging.</w:t>
      </w:r>
    </w:p>
    <w:p>
      <w:pPr>
        <w:pStyle w:val="Heading1"/>
      </w:pPr>
      <w:r>
        <w:t>8. AI Privacy &amp; Safety</w:t>
      </w:r>
    </w:p>
    <w:p>
      <w:r>
        <w:t>AI memory controls, explainability, prompt safety, sensitive-data handling and user override options.</w:t>
      </w:r>
    </w:p>
    <w:p>
      <w:pPr>
        <w:pStyle w:val="Heading1"/>
      </w:pPr>
      <w:r>
        <w:t>9. Threat Model</w:t>
      </w:r>
    </w:p>
    <w:p>
      <w:r>
        <w:t>Account takeover, phishing, malware, API abuse, data leakage, insider threats and denial-of-service risks.</w:t>
      </w:r>
    </w:p>
    <w:p>
      <w:pPr>
        <w:pStyle w:val="Heading1"/>
      </w:pPr>
      <w:r>
        <w:t>10. Decision Rationale</w:t>
      </w:r>
    </w:p>
    <w:p>
      <w:r>
        <w:t>Why privacy-by-design and zero-trust principles are preferred over permissive defaults.</w:t>
      </w:r>
    </w:p>
    <w:p>
      <w:pPr>
        <w:pStyle w:val="Heading1"/>
      </w:pPr>
      <w:r>
        <w:t>11. Edge Cases</w:t>
      </w:r>
    </w:p>
    <w:p>
      <w:r>
        <w:t>Lost devices, revoked permissions, compromised credentials, offline authentication, account deletion requests.</w:t>
      </w:r>
    </w:p>
    <w:p>
      <w:pPr>
        <w:pStyle w:val="Heading1"/>
      </w:pPr>
      <w:r>
        <w:t>12. Incident Response</w:t>
      </w:r>
    </w:p>
    <w:p>
      <w:r>
        <w:t>Detection, containment, recovery, user notification, forensic logging and post-incident review.</w:t>
      </w:r>
    </w:p>
    <w:p>
      <w:pPr>
        <w:pStyle w:val="Heading1"/>
      </w:pPr>
      <w:r>
        <w:t>13. Implementation Notes</w:t>
      </w:r>
    </w:p>
    <w:p>
      <w:r>
        <w:t>Security libraries, identity providers, compliance targets, penetration testing and security monitoring.</w:t>
      </w:r>
    </w:p>
    <w:p>
      <w:pPr>
        <w:pStyle w:val="Heading1"/>
      </w:pPr>
      <w:r>
        <w:t>14. Risks</w:t>
      </w:r>
    </w:p>
    <w:p>
      <w:r>
        <w:t>Credential theft, misconfigurations, supply-chain vulnerabilities, regulatory changes and human error.</w:t>
      </w:r>
    </w:p>
    <w:p>
      <w:pPr>
        <w:pStyle w:val="Heading1"/>
      </w:pPr>
      <w:r>
        <w:t>15. Future Enhancements</w:t>
      </w:r>
    </w:p>
    <w:p>
      <w:r>
        <w:t>Hardware-backed security, confidential computing, decentralized identity, continuous risk assessment and quantum-resistant cryptography.</w:t>
      </w:r>
    </w:p>
    <w:p>
      <w:pPr>
        <w:pStyle w:val="Heading1"/>
      </w:pPr>
      <w:r>
        <w:t>Security Request Flow</w:t>
      </w:r>
    </w:p>
    <w:p>
      <w:r>
        <w:t>User Request</w:t>
        <w:br/>
        <w:t xml:space="preserve">      │</w:t>
        <w:br/>
        <w:t xml:space="preserve">      ▼</w:t>
        <w:br/>
        <w:t>Authentication</w:t>
        <w:br/>
        <w:t xml:space="preserve">      │</w:t>
        <w:br/>
        <w:t xml:space="preserve">      ▼</w:t>
        <w:br/>
        <w:t>Authorization</w:t>
        <w:br/>
        <w:t xml:space="preserve">      │</w:t>
        <w:br/>
        <w:t xml:space="preserve">      ▼</w:t>
        <w:br/>
        <w:t>Business Service</w:t>
        <w:br/>
        <w:t xml:space="preserve">      │</w:t>
        <w:br/>
        <w:t xml:space="preserve">      ▼</w:t>
        <w:br/>
        <w:t>Audit Log</w:t>
        <w:br/>
        <w:t xml:space="preserve">      │</w:t>
        <w:br/>
        <w:t xml:space="preserve">      ▼</w:t>
        <w:br/>
        <w:t>Encrypted Storage / Response</w:t>
      </w:r>
    </w:p>
    <w:p>
      <w:pPr>
        <w:pStyle w:val="Heading1"/>
      </w:pPr>
      <w:r>
        <w:t>Planned Deliverables for the Complete Volume</w:t>
      </w:r>
    </w:p>
    <w:tbl>
      <w:tblPr>
        <w:tblW w:type="auto" w:w="0"/>
        <w:tblLook w:firstColumn="1" w:firstRow="1" w:lastColumn="0" w:lastRow="0" w:noHBand="0" w:noVBand="1" w:val="04A0"/>
      </w:tblPr>
      <w:tblGrid>
        <w:gridCol w:w="4320"/>
        <w:gridCol w:w="4320"/>
      </w:tblGrid>
      <w:tr>
        <w:tc>
          <w:tcPr>
            <w:tcW w:type="dxa" w:w="4320"/>
          </w:tcPr>
          <w:p>
            <w:r>
              <w:t>Artifact</w:t>
            </w:r>
          </w:p>
        </w:tc>
        <w:tc>
          <w:tcPr>
            <w:tcW w:type="dxa" w:w="4320"/>
          </w:tcPr>
          <w:p>
            <w:r>
              <w:t>Complete Version</w:t>
            </w:r>
          </w:p>
        </w:tc>
      </w:tr>
      <w:tr>
        <w:tc>
          <w:tcPr>
            <w:tcW w:type="dxa" w:w="4320"/>
          </w:tcPr>
          <w:p>
            <w:r>
              <w:t>Security architecture diagrams</w:t>
            </w:r>
          </w:p>
        </w:tc>
        <w:tc>
          <w:tcPr>
            <w:tcW w:type="dxa" w:w="4320"/>
          </w:tcPr>
          <w:p>
            <w:r>
              <w:t>Yes</w:t>
            </w:r>
          </w:p>
        </w:tc>
      </w:tr>
      <w:tr>
        <w:tc>
          <w:tcPr>
            <w:tcW w:type="dxa" w:w="4320"/>
          </w:tcPr>
          <w:p>
            <w:r>
              <w:t>Threat model</w:t>
            </w:r>
          </w:p>
        </w:tc>
        <w:tc>
          <w:tcPr>
            <w:tcW w:type="dxa" w:w="4320"/>
          </w:tcPr>
          <w:p>
            <w:r>
              <w:t>Yes</w:t>
            </w:r>
          </w:p>
        </w:tc>
      </w:tr>
      <w:tr>
        <w:tc>
          <w:tcPr>
            <w:tcW w:type="dxa" w:w="4320"/>
          </w:tcPr>
          <w:p>
            <w:r>
              <w:t>Identity lifecycle</w:t>
            </w:r>
          </w:p>
        </w:tc>
        <w:tc>
          <w:tcPr>
            <w:tcW w:type="dxa" w:w="4320"/>
          </w:tcPr>
          <w:p>
            <w:r>
              <w:t>Yes</w:t>
            </w:r>
          </w:p>
        </w:tc>
      </w:tr>
      <w:tr>
        <w:tc>
          <w:tcPr>
            <w:tcW w:type="dxa" w:w="4320"/>
          </w:tcPr>
          <w:p>
            <w:r>
              <w:t>Permission matrix</w:t>
            </w:r>
          </w:p>
        </w:tc>
        <w:tc>
          <w:tcPr>
            <w:tcW w:type="dxa" w:w="4320"/>
          </w:tcPr>
          <w:p>
            <w:r>
              <w:t>Yes</w:t>
            </w:r>
          </w:p>
        </w:tc>
      </w:tr>
      <w:tr>
        <w:tc>
          <w:tcPr>
            <w:tcW w:type="dxa" w:w="4320"/>
          </w:tcPr>
          <w:p>
            <w:r>
              <w:t>Encryption strategy</w:t>
            </w:r>
          </w:p>
        </w:tc>
        <w:tc>
          <w:tcPr>
            <w:tcW w:type="dxa" w:w="4320"/>
          </w:tcPr>
          <w:p>
            <w:r>
              <w:t>Yes</w:t>
            </w:r>
          </w:p>
        </w:tc>
      </w:tr>
      <w:tr>
        <w:tc>
          <w:tcPr>
            <w:tcW w:type="dxa" w:w="4320"/>
          </w:tcPr>
          <w:p>
            <w:r>
              <w:t>Compliance checklist</w:t>
            </w:r>
          </w:p>
        </w:tc>
        <w:tc>
          <w:tcPr>
            <w:tcW w:type="dxa" w:w="4320"/>
          </w:tcPr>
          <w:p>
            <w:r>
              <w:t>Yes</w:t>
            </w:r>
          </w:p>
        </w:tc>
      </w:tr>
      <w:tr>
        <w:tc>
          <w:tcPr>
            <w:tcW w:type="dxa" w:w="4320"/>
          </w:tcPr>
          <w:p>
            <w:r>
              <w:t>Incident response playbooks</w:t>
            </w:r>
          </w:p>
        </w:tc>
        <w:tc>
          <w:tcPr>
            <w:tcW w:type="dxa" w:w="4320"/>
          </w:tcPr>
          <w:p>
            <w:r>
              <w:t>Yes</w:t>
            </w:r>
          </w:p>
        </w:tc>
      </w:tr>
      <w:tr>
        <w:tc>
          <w:tcPr>
            <w:tcW w:type="dxa" w:w="4320"/>
          </w:tcPr>
          <w:p>
            <w:r>
              <w:t>Edge-case catalogue</w:t>
            </w:r>
          </w:p>
        </w:tc>
        <w:tc>
          <w:tcPr>
            <w:tcW w:type="dxa" w:w="4320"/>
          </w:tcPr>
          <w:p>
            <w:r>
              <w:t>Yes</w:t>
            </w:r>
          </w:p>
        </w:tc>
      </w:tr>
      <w:tr>
        <w:tc>
          <w:tcPr>
            <w:tcW w:type="dxa" w:w="4320"/>
          </w:tcPr>
          <w:p>
            <w:r>
              <w:t>Implementation guide</w:t>
            </w:r>
          </w:p>
        </w:tc>
        <w:tc>
          <w:tcPr>
            <w:tcW w:type="dxa" w:w="4320"/>
          </w:tcPr>
          <w:p>
            <w:r>
              <w:t>Yes</w:t>
            </w:r>
          </w:p>
        </w:tc>
      </w:tr>
      <w:tr>
        <w:tc>
          <w:tcPr>
            <w:tcW w:type="dxa" w:w="4320"/>
          </w:tcPr>
          <w:p>
            <w:r>
              <w:t>Security testing plan</w:t>
            </w:r>
          </w:p>
        </w:tc>
        <w:tc>
          <w:tcPr>
            <w:tcW w:type="dxa" w:w="4320"/>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