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p>
    <w:p w:rsidR="00CC02C1" w:rsidRPr="00044051" w:rsidRDefault="00641D19" w:rsidP="000E3B64">
      <w:pPr>
        <w:pStyle w:val="Subtitle"/>
        <w:jc w:val="center"/>
        <w:rPr>
          <w:i w:val="0"/>
          <w:color w:val="auto"/>
        </w:rPr>
      </w:pPr>
      <w:r w:rsidRPr="00044051">
        <w:rPr>
          <w:i w:val="0"/>
          <w:color w:val="auto"/>
        </w:rPr>
        <w:t>Ju</w:t>
      </w:r>
      <w:r w:rsidR="0056712C">
        <w:rPr>
          <w:i w:val="0"/>
          <w:color w:val="auto"/>
        </w:rPr>
        <w:t>ly</w:t>
      </w:r>
      <w:bookmarkStart w:id="0" w:name="_GoBack"/>
      <w:bookmarkEnd w:id="0"/>
      <w:r w:rsidR="00C96CFF" w:rsidRPr="00044051">
        <w:rPr>
          <w:i w:val="0"/>
          <w:color w:val="auto"/>
        </w:rPr>
        <w:t xml:space="preserve"> </w:t>
      </w:r>
      <w:r w:rsidRPr="00044051">
        <w:rPr>
          <w:i w:val="0"/>
          <w:color w:val="auto"/>
        </w:rPr>
        <w:t>25</w:t>
      </w:r>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1"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1068B7">
              <w:rPr>
                <w:noProof/>
                <w:webHidden/>
              </w:rPr>
              <w:t>2</w:t>
            </w:r>
            <w:r w:rsidR="00FC0C97">
              <w:rPr>
                <w:noProof/>
                <w:webHidden/>
              </w:rPr>
              <w:fldChar w:fldCharType="end"/>
            </w:r>
          </w:hyperlink>
        </w:p>
        <w:p w:rsidR="00FC0C97" w:rsidRDefault="00942F8E">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noProof/>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1068B7">
              <w:rPr>
                <w:noProof/>
                <w:webHidden/>
              </w:rPr>
              <w:t>2</w:t>
            </w:r>
            <w:r w:rsidR="00FC0C97">
              <w:rPr>
                <w:noProof/>
                <w:webHidden/>
              </w:rPr>
              <w:fldChar w:fldCharType="end"/>
            </w:r>
          </w:hyperlink>
        </w:p>
        <w:p w:rsidR="00FC0C97" w:rsidRDefault="00942F8E">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1068B7">
              <w:rPr>
                <w:noProof/>
                <w:webHidden/>
              </w:rPr>
              <w:t>2</w:t>
            </w:r>
            <w:r w:rsidR="00FC0C97">
              <w:rPr>
                <w:noProof/>
                <w:webHidden/>
              </w:rPr>
              <w:fldChar w:fldCharType="end"/>
            </w:r>
          </w:hyperlink>
        </w:p>
        <w:p w:rsidR="00FC0C97" w:rsidRDefault="00942F8E">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1068B7">
              <w:rPr>
                <w:noProof/>
                <w:webHidden/>
              </w:rPr>
              <w:t>3</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1068B7">
              <w:rPr>
                <w:noProof/>
                <w:webHidden/>
              </w:rPr>
              <w:t>3</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1068B7">
              <w:rPr>
                <w:noProof/>
                <w:webHidden/>
              </w:rPr>
              <w:t>3</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1068B7">
              <w:rPr>
                <w:noProof/>
                <w:webHidden/>
              </w:rPr>
              <w:t>3</w:t>
            </w:r>
            <w:r w:rsidR="00FC0C97">
              <w:rPr>
                <w:noProof/>
                <w:webHidden/>
              </w:rPr>
              <w:fldChar w:fldCharType="end"/>
            </w:r>
          </w:hyperlink>
        </w:p>
        <w:p w:rsidR="00FC0C97" w:rsidRDefault="00942F8E">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1068B7">
              <w:rPr>
                <w:noProof/>
                <w:webHidden/>
              </w:rPr>
              <w:t>4</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1068B7">
              <w:rPr>
                <w:noProof/>
                <w:webHidden/>
              </w:rPr>
              <w:t>4</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1068B7">
              <w:rPr>
                <w:noProof/>
                <w:webHidden/>
              </w:rPr>
              <w:t>4</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1068B7">
              <w:rPr>
                <w:noProof/>
                <w:webHidden/>
              </w:rPr>
              <w:t>5</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1068B7">
              <w:rPr>
                <w:noProof/>
                <w:webHidden/>
              </w:rPr>
              <w:t>5</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1068B7">
              <w:rPr>
                <w:noProof/>
                <w:webHidden/>
              </w:rPr>
              <w:t>5</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1068B7">
              <w:rPr>
                <w:noProof/>
                <w:webHidden/>
              </w:rPr>
              <w:t>6</w:t>
            </w:r>
            <w:r w:rsidR="00FC0C97">
              <w:rPr>
                <w:noProof/>
                <w:webHidden/>
              </w:rPr>
              <w:fldChar w:fldCharType="end"/>
            </w:r>
          </w:hyperlink>
        </w:p>
        <w:p w:rsidR="00FC0C97" w:rsidRDefault="00942F8E">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1068B7">
              <w:rPr>
                <w:noProof/>
                <w:webHidden/>
              </w:rPr>
              <w:t>6</w:t>
            </w:r>
            <w:r w:rsidR="00FC0C97">
              <w:rPr>
                <w:noProof/>
                <w:webHidden/>
              </w:rPr>
              <w:fldChar w:fldCharType="end"/>
            </w:r>
          </w:hyperlink>
        </w:p>
        <w:p w:rsidR="00FC0C97" w:rsidRDefault="00942F8E">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1068B7">
              <w:rPr>
                <w:noProof/>
                <w:webHidden/>
              </w:rPr>
              <w:t>7</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1068B7">
              <w:rPr>
                <w:noProof/>
                <w:webHidden/>
              </w:rPr>
              <w:t>8</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1068B7">
              <w:rPr>
                <w:noProof/>
                <w:webHidden/>
              </w:rPr>
              <w:t>15</w:t>
            </w:r>
            <w:r w:rsidR="00FC0C97">
              <w:rPr>
                <w:noProof/>
                <w:webHidden/>
              </w:rPr>
              <w:fldChar w:fldCharType="end"/>
            </w:r>
          </w:hyperlink>
        </w:p>
        <w:p w:rsidR="00FC0C97" w:rsidRDefault="00942F8E">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1068B7">
              <w:rPr>
                <w:noProof/>
                <w:webHidden/>
              </w:rPr>
              <w:t>19</w:t>
            </w:r>
            <w:r w:rsidR="00FC0C97">
              <w:rPr>
                <w:noProof/>
                <w:webHidden/>
              </w:rPr>
              <w:fldChar w:fldCharType="end"/>
            </w:r>
          </w:hyperlink>
        </w:p>
        <w:p w:rsidR="00FC0C97" w:rsidRDefault="00942F8E">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1068B7">
              <w:rPr>
                <w:noProof/>
                <w:webHidden/>
              </w:rPr>
              <w:t>24</w:t>
            </w:r>
            <w:r w:rsidR="00FC0C97">
              <w:rPr>
                <w:noProof/>
                <w:webHidden/>
              </w:rPr>
              <w:fldChar w:fldCharType="end"/>
            </w:r>
          </w:hyperlink>
        </w:p>
        <w:p w:rsidR="00FC0C97" w:rsidRDefault="00942F8E">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1068B7">
              <w:rPr>
                <w:noProof/>
                <w:webHidden/>
              </w:rPr>
              <w:t>24</w:t>
            </w:r>
            <w:r w:rsidR="00FC0C97">
              <w:rPr>
                <w:noProof/>
                <w:webHidden/>
              </w:rPr>
              <w:fldChar w:fldCharType="end"/>
            </w:r>
          </w:hyperlink>
        </w:p>
        <w:p w:rsidR="00FC0C97" w:rsidRDefault="00942F8E">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1068B7">
              <w:rPr>
                <w:noProof/>
                <w:webHidden/>
              </w:rPr>
              <w:t>24</w:t>
            </w:r>
            <w:r w:rsidR="00FC0C97">
              <w:rPr>
                <w:noProof/>
                <w:webHidden/>
              </w:rPr>
              <w:fldChar w:fldCharType="end"/>
            </w:r>
          </w:hyperlink>
        </w:p>
        <w:p w:rsidR="00FC0C97" w:rsidRDefault="00942F8E">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1068B7">
              <w:rPr>
                <w:noProof/>
                <w:webHidden/>
              </w:rPr>
              <w:t>26</w:t>
            </w:r>
            <w:r w:rsidR="00FC0C97">
              <w:rPr>
                <w:noProof/>
                <w:webHidden/>
              </w:rPr>
              <w:fldChar w:fldCharType="end"/>
            </w:r>
          </w:hyperlink>
        </w:p>
        <w:p w:rsidR="00FC0C97" w:rsidRDefault="00942F8E">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1068B7">
              <w:rPr>
                <w:noProof/>
                <w:webHidden/>
              </w:rPr>
              <w:t>27</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2" w:name="_Toc391495585"/>
      <w:r>
        <w:br w:type="page"/>
      </w:r>
    </w:p>
    <w:p w:rsidR="000E3B64" w:rsidRDefault="000E3B64" w:rsidP="000E3B64">
      <w:pPr>
        <w:pStyle w:val="Heading1"/>
        <w:numPr>
          <w:ilvl w:val="0"/>
          <w:numId w:val="2"/>
        </w:numPr>
      </w:pPr>
      <w:r>
        <w:lastRenderedPageBreak/>
        <w:t>Introduction</w:t>
      </w:r>
      <w:bookmarkEnd w:id="1"/>
      <w:bookmarkEnd w:id="2"/>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3" w:name="_Toc300697016"/>
      <w:bookmarkStart w:id="4" w:name="_Toc391495586"/>
      <w:r>
        <w:t>Contact information</w:t>
      </w:r>
      <w:bookmarkEnd w:id="3"/>
      <w:bookmarkEnd w:id="4"/>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proofErr w:type="spellStart"/>
      <w:r w:rsidR="00CF06A2">
        <w:t>donovan.parks</w:t>
      </w:r>
      <w:proofErr w:type="spellEnd"/>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5" w:name="_Toc300697017"/>
      <w:bookmarkStart w:id="6" w:name="_Toc391495587"/>
      <w:r>
        <w:t>Citing STAMP</w:t>
      </w:r>
      <w:r w:rsidR="00382B76">
        <w:t xml:space="preserve"> and statistical techniques</w:t>
      </w:r>
      <w:bookmarkEnd w:id="5"/>
      <w:bookmarkEnd w:id="6"/>
    </w:p>
    <w:p w:rsidR="00DF0AC3" w:rsidRDefault="00DF0AC3" w:rsidP="00DF0AC3">
      <w:r>
        <w:t xml:space="preserve">If you use STAMP in your research, please cite: </w:t>
      </w:r>
    </w:p>
    <w:p w:rsidR="00DF0AC3" w:rsidRPr="00EE3DC0" w:rsidRDefault="00EE3DC0" w:rsidP="003268C3">
      <w:pPr>
        <w:ind w:left="360"/>
        <w:rPr>
          <w:bCs/>
        </w:rPr>
      </w:pPr>
      <w:r>
        <w:rPr>
          <w:bCs/>
        </w:rPr>
        <w:t xml:space="preserve">Parks DH, Tyson GW, Hugenholtz P, </w:t>
      </w:r>
      <w:proofErr w:type="spellStart"/>
      <w:r>
        <w:rPr>
          <w:bCs/>
        </w:rPr>
        <w:t>Beiko</w:t>
      </w:r>
      <w:proofErr w:type="spellEnd"/>
      <w:r>
        <w:rPr>
          <w:bCs/>
        </w:rPr>
        <w:t xml:space="preserve"> RG (2014). </w:t>
      </w:r>
      <w:r w:rsidRPr="00EE3DC0">
        <w:rPr>
          <w:bCs/>
        </w:rPr>
        <w:t xml:space="preserve">STAMP: statistical </w:t>
      </w:r>
      <w:proofErr w:type="spellStart"/>
      <w:r w:rsidRPr="00EE3DC0">
        <w:rPr>
          <w:bCs/>
        </w:rPr>
        <w:t>anlysis</w:t>
      </w:r>
      <w:proofErr w:type="spellEnd"/>
      <w:r w:rsidRPr="00EE3DC0">
        <w:rPr>
          <w:bCs/>
        </w:rPr>
        <w:t xml:space="preserve"> of taxonomic and functional profiles</w:t>
      </w:r>
      <w:r>
        <w:rPr>
          <w:bCs/>
        </w:rPr>
        <w:t xml:space="preserve">. </w:t>
      </w:r>
      <w:r>
        <w:rPr>
          <w:bCs/>
          <w:i/>
        </w:rPr>
        <w:t>Bioinformatics</w:t>
      </w:r>
      <w:r>
        <w:rPr>
          <w:bCs/>
        </w:rPr>
        <w:t xml:space="preserve">, </w:t>
      </w:r>
      <w:proofErr w:type="spellStart"/>
      <w:r w:rsidRPr="00EE3DC0">
        <w:t>doi</w:t>
      </w:r>
      <w:proofErr w:type="spellEnd"/>
      <w:r w:rsidRPr="00EE3DC0">
        <w:t>: 10.1093/bioinformatics/btu494.</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w:t>
      </w:r>
      <w:proofErr w:type="spellStart"/>
      <w:r>
        <w:rPr>
          <w:bCs/>
        </w:rPr>
        <w:t>Nagarajan</w:t>
      </w:r>
      <w:proofErr w:type="spellEnd"/>
      <w:r>
        <w:rPr>
          <w:bCs/>
        </w:rPr>
        <w:t xml:space="preserve"> N, and Pop M. (2009).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EE3DC0" w:rsidRPr="00EE3DC0" w:rsidRDefault="00382B76" w:rsidP="00EE3DC0">
      <w:pPr>
        <w:rPr>
          <w:bCs/>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r w:rsidR="00EE3DC0">
        <w:t xml:space="preserve">The original manuscript describing </w:t>
      </w:r>
      <w:r w:rsidR="00EE3DC0">
        <w:t>STAMP</w:t>
      </w:r>
      <w:r w:rsidR="00EE3DC0">
        <w:t xml:space="preserve"> is</w:t>
      </w:r>
      <w:r w:rsidR="00EE3DC0">
        <w:t xml:space="preserve">: </w:t>
      </w:r>
    </w:p>
    <w:p w:rsidR="00EE3DC0" w:rsidRDefault="00EE3DC0" w:rsidP="00EE3DC0">
      <w:pPr>
        <w:ind w:left="360"/>
        <w:rPr>
          <w:bCs/>
        </w:rPr>
      </w:pPr>
      <w:r w:rsidRPr="00DF0AC3">
        <w:rPr>
          <w:bCs/>
        </w:rPr>
        <w:t xml:space="preserve">Parks DH and </w:t>
      </w:r>
      <w:proofErr w:type="spellStart"/>
      <w:r w:rsidRPr="00DF0AC3">
        <w:rPr>
          <w:bCs/>
        </w:rPr>
        <w:t>Beiko</w:t>
      </w:r>
      <w:proofErr w:type="spellEnd"/>
      <w:r w:rsidRPr="00DF0AC3">
        <w:rPr>
          <w:bCs/>
        </w:rPr>
        <w:t xml:space="preserve"> RG</w:t>
      </w:r>
      <w:r>
        <w:rPr>
          <w:bCs/>
        </w:rPr>
        <w:t xml:space="preserve"> (2010</w:t>
      </w:r>
      <w:r w:rsidRPr="00382B76">
        <w:rPr>
          <w:bCs/>
          <w:i/>
        </w:rPr>
        <w:t xml:space="preserve">). </w:t>
      </w:r>
      <w:proofErr w:type="gramStart"/>
      <w:r w:rsidRPr="00EE3DC0">
        <w:rPr>
          <w:bCs/>
          <w:iCs/>
        </w:rPr>
        <w:t>Identifying biologically relevant differences between metagenomic communities</w:t>
      </w:r>
      <w:r w:rsidRPr="00DF0AC3">
        <w:rPr>
          <w:bCs/>
          <w:i/>
          <w:iCs/>
        </w:rPr>
        <w:t>.</w:t>
      </w:r>
      <w:proofErr w:type="gramEnd"/>
      <w:r w:rsidRPr="00DF0AC3">
        <w:rPr>
          <w:bCs/>
        </w:rPr>
        <w:t xml:space="preserve"> </w:t>
      </w:r>
      <w:r w:rsidRPr="00382B76">
        <w:rPr>
          <w:bCs/>
          <w:i/>
        </w:rPr>
        <w:t>Bioinformatics</w:t>
      </w:r>
      <w:r>
        <w:rPr>
          <w:bCs/>
        </w:rPr>
        <w:t xml:space="preserve">, </w:t>
      </w:r>
      <w:r w:rsidRPr="00382B76">
        <w:rPr>
          <w:b/>
          <w:bCs/>
        </w:rPr>
        <w:t>26</w:t>
      </w:r>
      <w:r>
        <w:rPr>
          <w:bCs/>
        </w:rPr>
        <w:t>, 715-721.</w:t>
      </w:r>
    </w:p>
    <w:p w:rsidR="00EE3DC0" w:rsidRPr="00382B76" w:rsidRDefault="00EE3DC0" w:rsidP="00382B76">
      <w:pPr>
        <w:rPr>
          <w:b/>
        </w:rPr>
      </w:pPr>
    </w:p>
    <w:p w:rsidR="000E3B64" w:rsidRDefault="000E3B64" w:rsidP="000E3B64">
      <w:pPr>
        <w:pStyle w:val="Heading1"/>
        <w:numPr>
          <w:ilvl w:val="0"/>
          <w:numId w:val="2"/>
        </w:numPr>
      </w:pPr>
      <w:bookmarkStart w:id="7" w:name="_Toc300697018"/>
      <w:bookmarkStart w:id="8" w:name="_Toc391495588"/>
      <w:r>
        <w:lastRenderedPageBreak/>
        <w:t>Installation</w:t>
      </w:r>
      <w:bookmarkEnd w:id="7"/>
      <w:bookmarkEnd w:id="8"/>
    </w:p>
    <w:p w:rsidR="003268C3" w:rsidRPr="003268C3" w:rsidRDefault="00B8335A" w:rsidP="002A5057">
      <w:pPr>
        <w:pStyle w:val="Heading2"/>
      </w:pPr>
      <w:bookmarkStart w:id="9" w:name="_Toc300697019"/>
      <w:bookmarkStart w:id="10" w:name="_Toc391495589"/>
      <w:r>
        <w:t xml:space="preserve">4.1 </w:t>
      </w:r>
      <w:r w:rsidR="003268C3">
        <w:t>Precompiled binaries</w:t>
      </w:r>
      <w:r w:rsidR="00DE06BF">
        <w:t xml:space="preserve"> for Microsoft Windows</w:t>
      </w:r>
      <w:bookmarkEnd w:id="9"/>
      <w:bookmarkEnd w:id="10"/>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942F8E"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942F8E"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942F8E"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1" w:name="_Toc300697020"/>
      <w:bookmarkStart w:id="12" w:name="_Toc391495590"/>
      <w:r>
        <w:t xml:space="preserve">4.2 </w:t>
      </w:r>
      <w:r w:rsidR="003268C3">
        <w:t>Source code</w:t>
      </w:r>
      <w:bookmarkEnd w:id="11"/>
      <w:bookmarkEnd w:id="12"/>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3" w:name="_Toc300697021"/>
      <w:bookmarkStart w:id="14" w:name="_Toc391495591"/>
      <w:r>
        <w:t>4.3 Unit tests: Verifying the installation</w:t>
      </w:r>
      <w:bookmarkEnd w:id="13"/>
      <w:bookmarkEnd w:id="14"/>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 xml:space="preserve">STAMP is open source software released under the GNU GPL v3 license. If you wish to contribute to STAMP, you can find the development branch of STAMP on </w:t>
      </w:r>
      <w:proofErr w:type="spellStart"/>
      <w:r>
        <w:t>GitHub</w:t>
      </w:r>
      <w:proofErr w:type="spellEnd"/>
      <w:r>
        <w:t>:</w:t>
      </w:r>
    </w:p>
    <w:p w:rsidR="00CF06A2" w:rsidRDefault="00CF06A2" w:rsidP="00A24742">
      <w:pPr>
        <w:jc w:val="both"/>
      </w:pPr>
      <w:r>
        <w:lastRenderedPageBreak/>
        <w:t xml:space="preserve">    </w:t>
      </w:r>
      <w:hyperlink r:id="rId13" w:history="1">
        <w:r w:rsidRPr="00B31DCA">
          <w:rPr>
            <w:rStyle w:val="Hyperlink"/>
          </w:rPr>
          <w:t>https://github.com/dparks1134/STAMP</w:t>
        </w:r>
      </w:hyperlink>
    </w:p>
    <w:p w:rsidR="009D016B" w:rsidRDefault="00AA7302" w:rsidP="009D016B">
      <w:pPr>
        <w:pStyle w:val="Heading1"/>
      </w:pPr>
      <w:bookmarkStart w:id="15" w:name="_Toc300697022"/>
      <w:bookmarkStart w:id="16" w:name="_Toc391495592"/>
      <w:r>
        <w:t>5</w:t>
      </w:r>
      <w:r w:rsidR="009D016B">
        <w:t>. Constructing and obtaining metagenomic profiles</w:t>
      </w:r>
      <w:bookmarkEnd w:id="15"/>
      <w:bookmarkEnd w:id="16"/>
    </w:p>
    <w:p w:rsidR="009D016B" w:rsidRPr="003D4A9A" w:rsidRDefault="00AA7302" w:rsidP="009D016B">
      <w:pPr>
        <w:pStyle w:val="Heading2"/>
      </w:pPr>
      <w:bookmarkStart w:id="17" w:name="_Toc300697023"/>
      <w:bookmarkStart w:id="18" w:name="_Toc391495593"/>
      <w:r>
        <w:t>5</w:t>
      </w:r>
      <w:r w:rsidR="009D016B">
        <w:t>.1 Creating your own metagenomic profiles</w:t>
      </w:r>
      <w:bookmarkEnd w:id="17"/>
      <w:bookmarkEnd w:id="18"/>
    </w:p>
    <w:p w:rsidR="009D016B"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 xml:space="preserve">. 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9D016B">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AA7302" w:rsidP="009D016B">
      <w:pPr>
        <w:pStyle w:val="Heading2"/>
      </w:pPr>
      <w:bookmarkStart w:id="19" w:name="_Toc300697024"/>
      <w:bookmarkStart w:id="20" w:name="_Toc391495594"/>
      <w:r>
        <w:t>5</w:t>
      </w:r>
      <w:r w:rsidR="009D016B">
        <w:t>.2 Creating a metadata file</w:t>
      </w:r>
      <w:bookmarkEnd w:id="19"/>
      <w:bookmarkEnd w:id="20"/>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1" w:name="_Toc300697025"/>
      <w:bookmarkStart w:id="22" w:name="_Toc391495595"/>
      <w:r>
        <w:lastRenderedPageBreak/>
        <w:t>5</w:t>
      </w:r>
      <w:r w:rsidR="003D2DA3">
        <w:t>.3 Obtaining profiles from MG-RAST</w:t>
      </w:r>
      <w:bookmarkEnd w:id="21"/>
      <w:bookmarkEnd w:id="22"/>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3" w:name="_Toc391495596"/>
      <w:r>
        <w:t>5</w:t>
      </w:r>
      <w:r w:rsidR="003D21B7">
        <w:t xml:space="preserve">.4 </w:t>
      </w:r>
      <w:r w:rsidR="00027DCB">
        <w:t>Obtaining profiles from BIOM files</w:t>
      </w:r>
      <w:bookmarkEnd w:id="23"/>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4" w:name="_Toc300697026"/>
      <w:bookmarkStart w:id="25" w:name="_Toc391495597"/>
      <w:r>
        <w:t>5</w:t>
      </w:r>
      <w:r w:rsidR="009D016B" w:rsidRPr="008D1AA8">
        <w:t>.</w:t>
      </w:r>
      <w:r w:rsidR="003D21B7">
        <w:t>5</w:t>
      </w:r>
      <w:r w:rsidR="009D016B" w:rsidRPr="008D1AA8">
        <w:t xml:space="preserve"> Obtaining profiles from IMG/M</w:t>
      </w:r>
      <w:bookmarkEnd w:id="24"/>
      <w:bookmarkEnd w:id="25"/>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lastRenderedPageBreak/>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6" w:name="_Toc300697027"/>
      <w:bookmarkStart w:id="27"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6"/>
      <w:bookmarkEnd w:id="27"/>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8" w:name="_Toc391495599"/>
      <w:bookmarkStart w:id="29" w:name="_Toc300697028"/>
      <w:r>
        <w:t>6. Guidelines on sample size</w:t>
      </w:r>
      <w:bookmarkEnd w:id="28"/>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w:t>
      </w:r>
      <w:proofErr w:type="spellStart"/>
      <w:r>
        <w:t>Chandrashekara</w:t>
      </w:r>
      <w:proofErr w:type="spellEnd"/>
      <w:r>
        <w:t xml:space="preserve">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w:t>
      </w:r>
      <w:r w:rsidR="00792088">
        <w:lastRenderedPageBreak/>
        <w:t>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Jeremy Miles article).</w:t>
      </w:r>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 xml:space="preserve">the reported p-values will often be inaccurate as </w:t>
      </w:r>
      <w:r w:rsidR="00380BA3">
        <w:t>statistical hypothesis test cannot account for the poor accuracy and precision of the methods used to generate taxonomic and metabolic profiles. In these situations, I believe ‘best practice’ is to use the p-values to identify statistically significant features 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30" w:name="_Toc391495600"/>
      <w:r>
        <w:t>7</w:t>
      </w:r>
      <w:r w:rsidR="009D016B">
        <w:t xml:space="preserve">. </w:t>
      </w:r>
      <w:r w:rsidR="000E3B64">
        <w:t>Analyzing metagenomic profiles</w:t>
      </w:r>
      <w:bookmarkEnd w:id="29"/>
      <w:bookmarkEnd w:id="30"/>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w:t>
      </w:r>
      <w:proofErr w:type="spellStart"/>
      <w:r>
        <w:t>enterotypes</w:t>
      </w:r>
      <w:proofErr w:type="spellEnd"/>
      <w:r>
        <w:t xml:space="preserve">.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1" w:name="_Toc300697029"/>
      <w:bookmarkStart w:id="32" w:name="_Toc391495601"/>
      <w:r>
        <w:lastRenderedPageBreak/>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w:t>
      </w:r>
      <w:proofErr w:type="spellStart"/>
      <w:r w:rsidR="0046626C">
        <w:t>enterotypes</w:t>
      </w:r>
      <w:proofErr w:type="spellEnd"/>
      <w:r w:rsidR="0046626C">
        <w:t xml:space="preserve">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w:t>
      </w:r>
      <w:proofErr w:type="spellStart"/>
      <w:r w:rsidR="0046626C">
        <w:t>enterotypes</w:t>
      </w:r>
      <w:proofErr w:type="spellEnd"/>
      <w:r w:rsidR="0046626C">
        <w:t xml:space="preserve">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w:t>
      </w:r>
      <w:proofErr w:type="spellStart"/>
      <w:r w:rsidR="00457049">
        <w:t>enterotypes</w:t>
      </w:r>
      <w:proofErr w:type="spellEnd"/>
      <w:r w:rsidR="00457049">
        <w:t xml:space="preserve">.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w:t>
      </w:r>
      <w:proofErr w:type="spellStart"/>
      <w:r w:rsidR="00457049">
        <w:t>enterotypes</w:t>
      </w:r>
      <w:proofErr w:type="spellEnd"/>
      <w:r w:rsidR="00457049">
        <w:t xml:space="preserve">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AU" w:eastAsia="en-AU"/>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AU" w:eastAsia="en-AU"/>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AU" w:eastAsia="en-AU"/>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w:t>
      </w:r>
      <w:r w:rsidR="00E310E5">
        <w:lastRenderedPageBreak/>
        <w:t>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w:t>
      </w:r>
      <w:proofErr w:type="spellStart"/>
      <w:r w:rsidR="00F114CA">
        <w:t>enterotypes</w:t>
      </w:r>
      <w:proofErr w:type="spellEnd"/>
      <w:r w:rsidR="00F114CA">
        <w:t>.</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proofErr w:type="spellStart"/>
      <w:r w:rsidR="00C01B78">
        <w:t>E</w:t>
      </w:r>
      <w:r w:rsidR="00F114CA">
        <w:t>nterotypes</w:t>
      </w:r>
      <w:proofErr w:type="spellEnd"/>
      <w:r w:rsidR="00F114CA">
        <w:t xml:space="preserve"> 2 and 3.</w:t>
      </w:r>
      <w:r w:rsidR="00C01B78">
        <w:t xml:space="preserve"> (p </w:t>
      </w:r>
      <w:r w:rsidR="00C01B78">
        <w:rPr>
          <w:rFonts w:cstheme="minorHAnsi"/>
        </w:rPr>
        <w:t>≤</w:t>
      </w:r>
      <w:r w:rsidR="00C01B78">
        <w:t xml:space="preserve"> 0.001)</w:t>
      </w:r>
      <w:r w:rsidR="00F114CA">
        <w:t xml:space="preserve"> In contrast, the mean abundance in </w:t>
      </w:r>
      <w:proofErr w:type="spellStart"/>
      <w:r w:rsidR="00C01B78">
        <w:t>Enterotypes</w:t>
      </w:r>
      <w:proofErr w:type="spellEnd"/>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lastRenderedPageBreak/>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lang w:val="en-AU" w:eastAsia="en-AU"/>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AU" w:eastAsia="en-AU"/>
        </w:rPr>
        <w:lastRenderedPageBreak/>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w:t>
      </w:r>
      <w:proofErr w:type="spellStart"/>
      <w:r w:rsidR="00867931">
        <w:t>enterotypes</w:t>
      </w:r>
      <w:proofErr w:type="spellEnd"/>
      <w:r w:rsidR="00867931">
        <w:t>.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AU" w:eastAsia="en-AU"/>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xml:space="preserve">, 2) the difference in mean proportions for each pair of </w:t>
      </w:r>
      <w:proofErr w:type="spellStart"/>
      <w:r>
        <w:t>enterotypes</w:t>
      </w:r>
      <w:proofErr w:type="spellEnd"/>
      <w:r>
        <w:t>,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AU" w:eastAsia="en-AU"/>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451E94" w:rsidRPr="009807E3" w:rsidRDefault="00451E94" w:rsidP="00451E94">
      <w:pPr>
        <w:jc w:val="both"/>
      </w:pPr>
      <w:bookmarkStart w:id="45" w:name="_Toc300697036"/>
      <w:bookmarkStart w:id="46" w:name="_Toc391495608"/>
      <w:r>
        <w:rPr>
          <w:rStyle w:val="Heading3Char"/>
        </w:rPr>
        <w:lastRenderedPageBreak/>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Cs w:val="26"/>
        </w:rPr>
      </w:pPr>
      <w:bookmarkStart w:id="47" w:name="_Toc300697037"/>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 xml:space="preserve">Parks and </w:t>
      </w:r>
      <w:proofErr w:type="spellStart"/>
      <w:r w:rsidR="009E35BC" w:rsidRPr="00B830FB">
        <w:t>Beiko</w:t>
      </w:r>
      <w:proofErr w:type="spellEnd"/>
      <w:r w:rsidR="009E35BC" w:rsidRPr="00B830FB">
        <w:t>,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AU" w:eastAsia="en-AU"/>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AU" w:eastAsia="en-AU"/>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AU" w:eastAsia="en-AU"/>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1E5FCD" w:rsidP="001E5FCD">
      <w:pPr>
        <w:jc w:val="both"/>
      </w:pPr>
      <w:bookmarkStart w:id="53" w:name="_Toc300697040"/>
      <w:bookmarkStart w:id="54" w:name="_Toc391495612"/>
      <w:r>
        <w:rPr>
          <w:rStyle w:val="Heading3Char"/>
        </w:rPr>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BE4497" w:rsidRDefault="00AA7302" w:rsidP="005770EF">
      <w:pPr>
        <w:pStyle w:val="Heading1"/>
      </w:pPr>
      <w:bookmarkStart w:id="55" w:name="_Toc300697041"/>
      <w:bookmarkStart w:id="56" w:name="_Toc391495613"/>
      <w:r>
        <w:lastRenderedPageBreak/>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AU" w:eastAsia="en-AU"/>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lastRenderedPageBreak/>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 xml:space="preserve">Rob </w:t>
      </w:r>
      <w:proofErr w:type="spellStart"/>
      <w:r w:rsidR="00E37F8E" w:rsidRPr="00E37F8E">
        <w:t>Beiko</w:t>
      </w:r>
      <w:proofErr w:type="spellEnd"/>
      <w:r w:rsidR="00E37F8E" w:rsidRPr="00E37F8E">
        <w:t xml:space="preserve"> (</w:t>
      </w:r>
      <w:proofErr w:type="spellStart"/>
      <w:r w:rsidR="00E37F8E" w:rsidRPr="00E37F8E">
        <w:t>beiko</w:t>
      </w:r>
      <w:proofErr w:type="spellEnd"/>
      <w:r w:rsidR="00E37F8E" w:rsidRPr="00E37F8E">
        <w:t xml:space="preserve">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3" w:name="_Toc300697046"/>
      <w:r>
        <w:br w:type="page"/>
      </w:r>
    </w:p>
    <w:p w:rsidR="00727690" w:rsidRDefault="00727690" w:rsidP="005770EF">
      <w:pPr>
        <w:pStyle w:val="Heading1"/>
      </w:pPr>
      <w:bookmarkStart w:id="64" w:name="_Toc388863498"/>
      <w:bookmarkStart w:id="65" w:name="_Toc391495617"/>
      <w:r>
        <w:lastRenderedPageBreak/>
        <w:t>References</w:t>
      </w:r>
      <w:bookmarkEnd w:id="63"/>
      <w:bookmarkEnd w:id="64"/>
      <w:bookmarkEnd w:id="65"/>
    </w:p>
    <w:p w:rsidR="007260D6" w:rsidRDefault="007260D6" w:rsidP="007260D6">
      <w:bookmarkStart w:id="66" w:name="BIB_abdi2007"/>
      <w:bookmarkStart w:id="67" w:name="BIB__bib"/>
      <w:proofErr w:type="spellStart"/>
      <w:r w:rsidRPr="004F33DE">
        <w:rPr>
          <w:vanish/>
        </w:rPr>
        <w:t>Adbi</w:t>
      </w:r>
      <w:proofErr w:type="spellEnd"/>
      <w:r w:rsidRPr="004F33DE">
        <w:rPr>
          <w:vanish/>
        </w:rPr>
        <w:t xml:space="preserve"> 2007</w:t>
      </w:r>
      <w:bookmarkStart w:id="68" w:name="B4B_abdi2007"/>
      <w:bookmarkEnd w:id="66"/>
      <w:bookmarkEnd w:id="68"/>
      <w:r w:rsidRPr="004F33DE">
        <w:t xml:space="preserve">Adbi, H. (2007) </w:t>
      </w:r>
      <w:r w:rsidRPr="004F33DE">
        <w:rPr>
          <w:i/>
        </w:rPr>
        <w:t>Encyclopedia of Measurement and Statistics.</w:t>
      </w:r>
      <w:r w:rsidRPr="004F33DE">
        <w:t xml:space="preserve"> Thousand Oaks, CA: Sage.</w:t>
      </w:r>
    </w:p>
    <w:p w:rsidR="007260D6" w:rsidRDefault="007260D6" w:rsidP="007260D6">
      <w:bookmarkStart w:id="69" w:name="BIB_agresti1990"/>
      <w:proofErr w:type="spellStart"/>
      <w:r w:rsidRPr="004F33DE">
        <w:rPr>
          <w:vanish/>
        </w:rPr>
        <w:t>Agresti</w:t>
      </w:r>
      <w:proofErr w:type="spellEnd"/>
      <w:r w:rsidRPr="004F33DE">
        <w:rPr>
          <w:vanish/>
        </w:rPr>
        <w:t xml:space="preserve"> 1990</w:t>
      </w:r>
      <w:bookmarkStart w:id="70" w:name="B4B_agresti1990"/>
      <w:bookmarkEnd w:id="69"/>
      <w:bookmarkEnd w:id="70"/>
      <w:r w:rsidRPr="004F33DE">
        <w:t xml:space="preserve">Agresti,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proofErr w:type="spellStart"/>
      <w:proofErr w:type="gramStart"/>
      <w:r w:rsidRPr="004F33DE">
        <w:rPr>
          <w:vanish/>
        </w:rPr>
        <w:t>Agresti</w:t>
      </w:r>
      <w:proofErr w:type="spellEnd"/>
      <w:r w:rsidRPr="004F33DE">
        <w:rPr>
          <w:vanish/>
        </w:rPr>
        <w:t xml:space="preserve"> 1992</w:t>
      </w:r>
      <w:bookmarkStart w:id="72" w:name="B4B_agresti1992"/>
      <w:bookmarkEnd w:id="71"/>
      <w:bookmarkEnd w:id="72"/>
      <w:r w:rsidRPr="004F33DE">
        <w:t>Agresti,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proofErr w:type="spellStart"/>
      <w:r w:rsidRPr="004F33DE">
        <w:rPr>
          <w:vanish/>
        </w:rPr>
        <w:t>Agresti</w:t>
      </w:r>
      <w:proofErr w:type="spellEnd"/>
      <w:r w:rsidRPr="004F33DE">
        <w:rPr>
          <w:vanish/>
        </w:rPr>
        <w:t xml:space="preserve"> 1999</w:t>
      </w:r>
      <w:bookmarkStart w:id="74" w:name="B4B_agresti1999"/>
      <w:bookmarkEnd w:id="73"/>
      <w:bookmarkEnd w:id="74"/>
      <w:r w:rsidRPr="004F33DE">
        <w:t>Agresti,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w:t>
      </w:r>
      <w:proofErr w:type="spellStart"/>
      <w:r w:rsidRPr="00382B76">
        <w:t>Enterotypes</w:t>
      </w:r>
      <w:proofErr w:type="spellEnd"/>
      <w:r w:rsidRPr="00382B76">
        <w:t xml:space="preserve">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proofErr w:type="spellStart"/>
      <w:proofErr w:type="gramStart"/>
      <w:r w:rsidRPr="004F33DE">
        <w:rPr>
          <w:vanish/>
        </w:rPr>
        <w:t>Benjamini</w:t>
      </w:r>
      <w:proofErr w:type="spellEnd"/>
      <w:r w:rsidRPr="004F33DE">
        <w:rPr>
          <w:vanish/>
        </w:rPr>
        <w:t xml:space="preserve"> and Hochberg 1995</w:t>
      </w:r>
      <w:bookmarkStart w:id="76" w:name="B4B_benjamini1995"/>
      <w:bookmarkEnd w:id="75"/>
      <w:bookmarkEnd w:id="76"/>
      <w:r w:rsidRPr="004F33DE">
        <w:t>Benjamini,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t>Kumar and Dudley 2007</w:t>
      </w:r>
      <w:bookmarkStart w:id="82" w:name="B4B_kumar2007"/>
      <w:bookmarkEnd w:id="81"/>
      <w:bookmarkEnd w:id="82"/>
      <w:r w:rsidRPr="004F33DE">
        <w:t>Kumar, S. and Dudley, J. (2007)</w:t>
      </w:r>
      <w:r>
        <w:t xml:space="preserve"> </w:t>
      </w:r>
      <w:r w:rsidRPr="004F33DE">
        <w:t>Bioinformatics software for biologists in the genomics era</w:t>
      </w:r>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proofErr w:type="gramStart"/>
      <w:r w:rsidRPr="004F33DE">
        <w:rPr>
          <w:vanish/>
        </w:rPr>
        <w:t>Lawson 2004</w:t>
      </w:r>
      <w:bookmarkStart w:id="84" w:name="B4B_lawson2004"/>
      <w:bookmarkEnd w:id="83"/>
      <w:bookmarkEnd w:id="84"/>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proofErr w:type="gramStart"/>
      <w:r w:rsidRPr="004F33DE">
        <w:rPr>
          <w:vanish/>
        </w:rPr>
        <w:t>Manly 2007</w:t>
      </w:r>
      <w:bookmarkStart w:id="86" w:name="B4B_manly2007"/>
      <w:bookmarkEnd w:id="85"/>
      <w:bookmarkEnd w:id="86"/>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lastRenderedPageBreak/>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w:t>
      </w:r>
      <w:proofErr w:type="spellStart"/>
      <w:r w:rsidRPr="004F33DE">
        <w:t>metagenomics</w:t>
      </w:r>
      <w:proofErr w:type="spellEnd"/>
      <w:r w:rsidRPr="004F33DE">
        <w:t xml:space="preserve">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proofErr w:type="spellStart"/>
      <w:r w:rsidRPr="004F33DE">
        <w:rPr>
          <w:vanish/>
        </w:rPr>
        <w:t>Newcombe</w:t>
      </w:r>
      <w:proofErr w:type="spellEnd"/>
      <w:r w:rsidRPr="004F33DE">
        <w:rPr>
          <w:vanish/>
        </w:rPr>
        <w:t xml:space="preserve"> 1998</w:t>
      </w:r>
      <w:bookmarkStart w:id="92" w:name="B4B_newcombe1998"/>
      <w:bookmarkEnd w:id="91"/>
      <w:bookmarkEnd w:id="92"/>
      <w:r w:rsidRPr="004F33DE">
        <w:t>Newcombe,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r w:rsidRPr="004F33DE">
        <w:t>Overbeek,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proofErr w:type="spellStart"/>
      <w:proofErr w:type="gramStart"/>
      <w:r w:rsidRPr="004F33DE">
        <w:rPr>
          <w:vanish/>
        </w:rPr>
        <w:t>Storey</w:t>
      </w:r>
      <w:proofErr w:type="spellEnd"/>
      <w:r w:rsidRPr="004F33DE">
        <w:rPr>
          <w:vanish/>
        </w:rPr>
        <w:t xml:space="preserve"> and </w:t>
      </w:r>
      <w:proofErr w:type="spellStart"/>
      <w:r w:rsidRPr="004F33DE">
        <w:rPr>
          <w:vanish/>
        </w:rPr>
        <w:t>Tibshirani</w:t>
      </w:r>
      <w:proofErr w:type="spellEnd"/>
      <w:r w:rsidRPr="004F33DE">
        <w:rPr>
          <w:vanish/>
        </w:rPr>
        <w:t xml:space="preserve"> 2003</w:t>
      </w:r>
      <w:bookmarkStart w:id="98" w:name="B4B_storey2003"/>
      <w:bookmarkEnd w:id="96"/>
      <w:bookmarkEnd w:id="98"/>
      <w:r w:rsidRPr="004F33DE">
        <w:t xml:space="preserve">Storey,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A15DA" w:rsidRPr="007A15DA" w:rsidRDefault="007A15DA" w:rsidP="007260D6">
      <w:r>
        <w:t xml:space="preserve">Suresh, K.P. and </w:t>
      </w:r>
      <w:proofErr w:type="spellStart"/>
      <w:r>
        <w:t>Shandrashekara</w:t>
      </w:r>
      <w:proofErr w:type="spellEnd"/>
      <w:r>
        <w:t xml:space="preserve">, S. (2012). </w:t>
      </w:r>
      <w:proofErr w:type="gramStart"/>
      <w:r>
        <w:t>Sample size estimation and power analysis for clinical research studies.</w:t>
      </w:r>
      <w:proofErr w:type="gramEnd"/>
      <w:r>
        <w:t xml:space="preserve"> </w:t>
      </w:r>
      <w:r>
        <w:rPr>
          <w:i/>
        </w:rPr>
        <w:t xml:space="preserve">J Hum </w:t>
      </w:r>
      <w:proofErr w:type="spellStart"/>
      <w:r>
        <w:rPr>
          <w:i/>
        </w:rPr>
        <w:t>Reprod</w:t>
      </w:r>
      <w:proofErr w:type="spellEnd"/>
      <w:r>
        <w:rPr>
          <w:i/>
        </w:rPr>
        <w:t xml:space="preserve"> </w:t>
      </w:r>
      <w:proofErr w:type="spellStart"/>
      <w:r>
        <w:rPr>
          <w:i/>
        </w:rPr>
        <w:t>Sci</w:t>
      </w:r>
      <w:proofErr w:type="spellEnd"/>
      <w:r>
        <w:t xml:space="preserve">, </w:t>
      </w:r>
      <w:r>
        <w:rPr>
          <w:b/>
        </w:rPr>
        <w:t>5</w:t>
      </w:r>
      <w:r>
        <w:t>, 7-13.</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F8E" w:rsidRDefault="00942F8E" w:rsidP="00D53491">
      <w:pPr>
        <w:spacing w:after="0" w:line="240" w:lineRule="auto"/>
      </w:pPr>
      <w:r>
        <w:separator/>
      </w:r>
    </w:p>
  </w:endnote>
  <w:endnote w:type="continuationSeparator" w:id="0">
    <w:p w:rsidR="00942F8E" w:rsidRDefault="00942F8E"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EndPr/>
    <w:sdtContent>
      <w:p w:rsidR="002730EE" w:rsidRDefault="002730EE">
        <w:pPr>
          <w:pStyle w:val="Footer"/>
          <w:jc w:val="right"/>
        </w:pPr>
        <w:r>
          <w:t xml:space="preserve">Page | </w:t>
        </w:r>
        <w:r>
          <w:fldChar w:fldCharType="begin"/>
        </w:r>
        <w:r>
          <w:instrText xml:space="preserve"> PAGE   \* MERGEFORMAT </w:instrText>
        </w:r>
        <w:r>
          <w:fldChar w:fldCharType="separate"/>
        </w:r>
        <w:r w:rsidR="001068B7">
          <w:rPr>
            <w:noProof/>
          </w:rPr>
          <w:t>1</w:t>
        </w:r>
        <w:r>
          <w:rPr>
            <w:noProof/>
          </w:rPr>
          <w:fldChar w:fldCharType="end"/>
        </w:r>
        <w:r>
          <w:t xml:space="preserve"> </w:t>
        </w:r>
      </w:p>
    </w:sdtContent>
  </w:sdt>
  <w:p w:rsidR="002730EE" w:rsidRDefault="00273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F8E" w:rsidRDefault="00942F8E" w:rsidP="00D53491">
      <w:pPr>
        <w:spacing w:after="0" w:line="240" w:lineRule="auto"/>
      </w:pPr>
      <w:r>
        <w:separator/>
      </w:r>
    </w:p>
  </w:footnote>
  <w:footnote w:type="continuationSeparator" w:id="0">
    <w:p w:rsidR="00942F8E" w:rsidRDefault="00942F8E"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7AC"/>
    <w:rsid w:val="000E3B64"/>
    <w:rsid w:val="000F456F"/>
    <w:rsid w:val="000F4BEF"/>
    <w:rsid w:val="000F6457"/>
    <w:rsid w:val="0010578D"/>
    <w:rsid w:val="00105A8E"/>
    <w:rsid w:val="001068B7"/>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0BA3"/>
    <w:rsid w:val="00381CF6"/>
    <w:rsid w:val="00382B76"/>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6712C"/>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2F8E"/>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62CE"/>
    <w:rsid w:val="00B37955"/>
    <w:rsid w:val="00B74B7A"/>
    <w:rsid w:val="00B76F66"/>
    <w:rsid w:val="00B830FB"/>
    <w:rsid w:val="00B8335A"/>
    <w:rsid w:val="00B85CAD"/>
    <w:rsid w:val="00B9271D"/>
    <w:rsid w:val="00B94D89"/>
    <w:rsid w:val="00B95564"/>
    <w:rsid w:val="00BA3B78"/>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1952"/>
    <w:rsid w:val="00D839F4"/>
    <w:rsid w:val="00D870A7"/>
    <w:rsid w:val="00D9396A"/>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E3DC0"/>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1BD8C-5C8A-4A31-8AA0-473F45D8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29</Pages>
  <Words>8812</Words>
  <Characters>50232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Administrator</cp:lastModifiedBy>
  <cp:revision>134</cp:revision>
  <cp:lastPrinted>2014-07-24T23:50:00Z</cp:lastPrinted>
  <dcterms:created xsi:type="dcterms:W3CDTF">2010-01-12T14:10:00Z</dcterms:created>
  <dcterms:modified xsi:type="dcterms:W3CDTF">2014-07-24T23:50:00Z</dcterms:modified>
</cp:coreProperties>
</file>