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00"/>
        <w:jc w:val="center"/>
      </w:pPr>
      <w:r>
        <w:rPr>
          <w:rFonts w:ascii="Times New Roman" w:hAnsi="Times New Roman" w:eastAsia="Times New Roman"/>
          <w:b/>
          <w:color w:val="20354A"/>
          <w:sz w:val="39"/>
        </w:rPr>
        <w:t>OpenPBL: Curriculum-Anchored, Evidence-Gated, and Reversible Human-AI Co-Agency for Project-Based Learning</w:t>
      </w:r>
    </w:p>
    <w:p>
      <w:pPr>
        <w:spacing w:after="40"/>
        <w:jc w:val="center"/>
      </w:pPr>
      <w:r>
        <w:rPr>
          <w:rFonts w:ascii="Times New Roman" w:hAnsi="Times New Roman" w:eastAsia="Times New Roman"/>
          <w:b/>
          <w:sz w:val="18"/>
        </w:rPr>
        <w:t>Manuscript type:</w:t>
      </w:r>
      <w:r>
        <w:rPr>
          <w:rFonts w:ascii="Times New Roman" w:hAnsi="Times New Roman" w:eastAsia="Times New Roman"/>
          <w:sz w:val="18"/>
        </w:rPr>
        <w:t xml:space="preserve"> Educational design research and formative artifact evaluation</w:t>
      </w:r>
    </w:p>
    <w:p>
      <w:pPr>
        <w:spacing w:after="40"/>
        <w:jc w:val="center"/>
      </w:pPr>
      <w:r>
        <w:rPr>
          <w:rFonts w:ascii="Times New Roman" w:hAnsi="Times New Roman" w:eastAsia="Times New Roman"/>
          <w:b/>
          <w:sz w:val="18"/>
        </w:rPr>
        <w:t>Author information:</w:t>
      </w:r>
      <w:r>
        <w:rPr>
          <w:rFonts w:ascii="Times New Roman" w:hAnsi="Times New Roman" w:eastAsia="Times New Roman"/>
          <w:sz w:val="18"/>
        </w:rPr>
        <w:t xml:space="preserve"> Anonymous for peer review</w:t>
      </w:r>
    </w:p>
    <w:p>
      <w:pPr>
        <w:spacing w:after="40"/>
        <w:jc w:val="center"/>
      </w:pPr>
      <w:r>
        <w:rPr>
          <w:rFonts w:ascii="Times New Roman" w:hAnsi="Times New Roman" w:eastAsia="Times New Roman"/>
          <w:b/>
          <w:sz w:val="18"/>
        </w:rPr>
        <w:t>Target community:</w:t>
      </w:r>
      <w:r>
        <w:rPr>
          <w:rFonts w:ascii="Times New Roman" w:hAnsi="Times New Roman" w:eastAsia="Times New Roman"/>
          <w:sz w:val="18"/>
        </w:rPr>
        <w:t xml:space="preserve"> International Journal of Artificial Intelligence in Education / AIED human-centred learning research</w:t>
      </w:r>
    </w:p>
    <w:p>
      <w:pPr>
        <w:spacing w:after="40"/>
        <w:jc w:val="center"/>
      </w:pPr>
      <w:r>
        <w:rPr>
          <w:rFonts w:ascii="Times New Roman" w:hAnsi="Times New Roman" w:eastAsia="Times New Roman"/>
          <w:b/>
          <w:sz w:val="18"/>
        </w:rPr>
        <w:t>Development snapshot:</w:t>
      </w:r>
      <w:r>
        <w:rPr>
          <w:rFonts w:ascii="Times New Roman" w:hAnsi="Times New Roman" w:eastAsia="Times New Roman"/>
          <w:sz w:val="18"/>
        </w:rPr>
        <w:t xml:space="preserve"> 13 August 2026</w:t>
      </w:r>
    </w:p>
    <w:p>
      <w:pPr>
        <w:spacing w:before="140" w:after="140"/>
        <w:pBdr>
          <w:bottom w:val="single" w:sz="10" w:space="1" w:color="2E74B5"/>
        </w:pBdr>
      </w:pPr>
    </w:p>
    <w:p>
      <w:pPr>
        <w:pStyle w:val="Heading1"/>
      </w:pPr>
      <w:r>
        <w:rPr>
          <w:rFonts w:ascii="Times New Roman" w:hAnsi="Times New Roman" w:eastAsia="Times New Roman"/>
          <w:sz w:val="31"/>
        </w:rPr>
        <w:t>Abstract</w:t>
      </w:r>
    </w:p>
    <w:p>
      <w:pPr>
        <w:spacing w:after="100" w:line="293" w:lineRule="auto"/>
        <w:jc w:val="both"/>
      </w:pPr>
      <w:r>
        <w:rPr>
          <w:rFonts w:ascii="Times New Roman" w:hAnsi="Times New Roman" w:eastAsia="Times New Roman"/>
          <w:sz w:val="21"/>
        </w:rPr>
        <w:t xml:space="preserve">Generative artificial intelligence can expand access to explanation, feedback, and productive assistance, yet the same assistance can displace the cognitive and regulatory work through which students learn. This tension is especially consequential in project-based learning (PjBL), where authentic production, iterative inquiry, and learner ownership are both means and outcomes of learning. This paper presents OpenPBL, a design-research artifact that operationalizes </w:t>
      </w:r>
      <w:r>
        <w:rPr>
          <w:rFonts w:ascii="Times New Roman" w:hAnsi="Times New Roman" w:eastAsia="Times New Roman"/>
          <w:b/>
          <w:sz w:val="21"/>
        </w:rPr>
        <w:t>curriculum-anchored, evidence-gated, and reversible human-AI co-agency</w:t>
      </w:r>
      <w:r>
        <w:rPr>
          <w:rFonts w:ascii="Times New Roman" w:hAnsi="Times New Roman" w:eastAsia="Times New Roman"/>
          <w:sz w:val="21"/>
        </w:rPr>
        <w:t>. The design distributes five forms of authority across teachers, students, and AI: curricular, instructional, adaptive, productive, and evaluative authority. Authentic prerequisites are distinguished from lesson targets in a role-aware curriculum graph; instruction follows an explanation-example-practice-feedback sequence before one terminal mastery assessment; adaptation remediates diagnosed prerequisite gaps and offers time-contingent enrichment; and students may explicitly delegate bounded draft edits to AI while preserving provenance, conflict protection, undo, final submission, and teacher adjudication. We report a formative evaluation of the implemented design using architecture-decision records, source-level traceability, and 114 targeted regression expectations across 14 test files. The audit found that all five authority boundaries were represented in executable mechanisms, while 113 of 114 targeted expectations passed. The remaining failure exposed a contract mismatch between a legacy upload-only stage-gate expectation and the revised requirement for test-interpret-revision evidence. Because no human participants or learning-outcome data were included, the study does not claim improved achievement, agency, or teacher workload. Its contributions are a theoretically grounded authority topology for educational human-AI collaboration, five reusable design principles, an auditable implementation pattern for reversible delegation, and a staged empirical agenda for evaluating learning, agency, and classroom orchestration.</w:t>
      </w:r>
    </w:p>
    <w:p>
      <w:pPr>
        <w:spacing w:after="100" w:line="293" w:lineRule="auto"/>
        <w:jc w:val="both"/>
      </w:pPr>
      <w:r>
        <w:rPr>
          <w:rFonts w:ascii="Times New Roman" w:hAnsi="Times New Roman" w:eastAsia="Times New Roman"/>
          <w:b/>
          <w:sz w:val="21"/>
        </w:rPr>
        <w:t>Keywords:</w:t>
      </w:r>
      <w:r>
        <w:rPr>
          <w:rFonts w:ascii="Times New Roman" w:hAnsi="Times New Roman" w:eastAsia="Times New Roman"/>
          <w:sz w:val="21"/>
        </w:rPr>
        <w:t xml:space="preserve"> artificial intelligence in education; project-based learning; human-AI collaboration; learner agency; adaptive learning; self-regulated learning; educational design research; learning evidence</w:t>
      </w:r>
    </w:p>
    <w:p>
      <w:pPr>
        <w:pStyle w:val="Heading1"/>
      </w:pPr>
      <w:r>
        <w:rPr>
          <w:rFonts w:ascii="Times New Roman" w:hAnsi="Times New Roman" w:eastAsia="Times New Roman"/>
          <w:sz w:val="31"/>
        </w:rPr>
        <w:t>1. Introduction</w:t>
      </w:r>
    </w:p>
    <w:p>
      <w:pPr>
        <w:spacing w:after="100" w:line="293" w:lineRule="auto"/>
        <w:jc w:val="both"/>
      </w:pPr>
      <w:r>
        <w:rPr>
          <w:rFonts w:ascii="Times New Roman" w:hAnsi="Times New Roman" w:eastAsia="Times New Roman"/>
          <w:sz w:val="21"/>
        </w:rPr>
        <w:t xml:space="preserve">Generative AI has made high-quality-seeming explanation, feedback, planning, and production support available at unprecedented scale. Well-designed AI tutoring can improve learning and engagement in bounded contexts (Kestin et al., 2025), and AI can augment teachers' capacity to provide timely guidance (Holstein et al., 2019). However, helpfulness is not equivalent to learning. In a large high-school mathematics field experiment, unguarded generative AI improved assisted practice performance but reduced subsequent unaided performance, whereas pedagogical guardrails mitigated the harm (Bastani et al., 2025). In peer feedback, students tended to rely on rather than learn from AI assistance when the support was removed (Darvishi et al., 2024). These findings shift the design question from whether AI should assist students to </w:t>
      </w:r>
      <w:r>
        <w:rPr>
          <w:rFonts w:ascii="Times New Roman" w:hAnsi="Times New Roman" w:eastAsia="Times New Roman"/>
          <w:b/>
          <w:sz w:val="21"/>
        </w:rPr>
        <w:t>which work AI may perform, under whose authority, with what evidence, and with what path back to independent performance</w:t>
      </w:r>
      <w:r>
        <w:rPr>
          <w:rFonts w:ascii="Times New Roman" w:hAnsi="Times New Roman" w:eastAsia="Times New Roman"/>
          <w:sz w:val="21"/>
        </w:rPr>
        <w:t>.</w:t>
      </w:r>
    </w:p>
    <w:p>
      <w:pPr>
        <w:spacing w:after="100" w:line="293" w:lineRule="auto"/>
        <w:jc w:val="both"/>
      </w:pPr>
      <w:r>
        <w:rPr>
          <w:rFonts w:ascii="Times New Roman" w:hAnsi="Times New Roman" w:eastAsia="Times New Roman"/>
          <w:sz w:val="21"/>
        </w:rPr>
        <w:t>The problem is acute in PjBL. PjBL organizes learning around sustained inquiry into authentic problems and the creation, testing, and revision of public or inspectable products. Meta-analytic evidence generally supports positive effects, but the magnitude varies by design and context (Chen &amp; Yang, 2019), and a recent umbrella review cautions that the methodological quality of available meta-analyses remains low despite a consistently positive direction (Farshad &amp; Fortin, 2026). PjBL is therefore not a self-executing intervention. Students need calibrated scaffolding for problem framing, knowledge building, inquiry, collaboration, iteration, and reflection (Hmelo-Silver et al., 2007; Kim et al., 2018). Generative AI can provide such scaffolding, but it can also collapse an inquiry into an answer, a design process into a generated artifact, or reflection into plausible prose.</w:t>
      </w:r>
    </w:p>
    <w:p>
      <w:pPr>
        <w:spacing w:after="100" w:line="293" w:lineRule="auto"/>
        <w:jc w:val="both"/>
      </w:pPr>
      <w:r>
        <w:rPr>
          <w:rFonts w:ascii="Times New Roman" w:hAnsi="Times New Roman" w:eastAsia="Times New Roman"/>
          <w:sz w:val="21"/>
        </w:rPr>
        <w:t>Existing AIED research provides important but fragmented responses. Intelligent tutoring research structures hints and feedback around domain models. Learning analytics supports teacher orchestration. Self-regulated learning (SRL) research emphasizes planning, monitoring, and reflection. Human-centred AI calls for meaningful human control. Student-AI collaboration research frames AI as a learning mate rather than a passive tool (Kim, Lee, &amp; Cho, 2022). Yet educational systems increasingly combine all these functions: they map curriculum, generate courses, diagnose prior knowledge, tutor, collaborate on artifacts, monitor activity, and recommend interventions. When those functions are designed independently, authority can drift. A prerequisite diagnostic may test new lesson content; an adaptive engine may skip core instruction; a collaborator may silently overwrite a student's idea; a dashboard may turn probabilistic inference into a consequential judgment; or multiple agents may optimize local helpfulness while eroding coherence.</w:t>
      </w:r>
    </w:p>
    <w:p>
      <w:pPr>
        <w:spacing w:after="100" w:line="293" w:lineRule="auto"/>
        <w:jc w:val="both"/>
      </w:pPr>
      <w:r>
        <w:rPr>
          <w:rFonts w:ascii="Times New Roman" w:hAnsi="Times New Roman" w:eastAsia="Times New Roman"/>
          <w:sz w:val="21"/>
        </w:rPr>
        <w:t xml:space="preserve">OpenPBL was redesigned in response to this integration problem. Its earlier architecture treated AI mainly as role-delimited companions that could explain, question, critique, and review but not directly modify a learner's project artifact. The current design adopts a more demanding position: protecting agency does not require prohibiting all AI contribution. Instead, agency can be supported through </w:t>
      </w:r>
      <w:r>
        <w:rPr>
          <w:rFonts w:ascii="Times New Roman" w:hAnsi="Times New Roman" w:eastAsia="Times New Roman"/>
          <w:b/>
          <w:sz w:val="21"/>
        </w:rPr>
        <w:t>constrained, inspectable, attributable, and reversible delegation</w:t>
      </w:r>
      <w:r>
        <w:rPr>
          <w:rFonts w:ascii="Times New Roman" w:hAnsi="Times New Roman" w:eastAsia="Times New Roman"/>
          <w:sz w:val="21"/>
        </w:rPr>
        <w:t>, provided that students retain consequential authority and that progress depends on evidence of learning rather than artifact presence alone.</w:t>
      </w:r>
    </w:p>
    <w:p>
      <w:pPr>
        <w:spacing w:after="100" w:line="293" w:lineRule="auto"/>
        <w:jc w:val="both"/>
      </w:pPr>
      <w:r>
        <w:rPr>
          <w:rFonts w:ascii="Times New Roman" w:hAnsi="Times New Roman" w:eastAsia="Times New Roman"/>
          <w:sz w:val="21"/>
        </w:rPr>
        <w:t>This paper asks:</w:t>
      </w:r>
    </w:p>
    <w:p>
      <w:pPr>
        <w:spacing w:after="100" w:line="293" w:lineRule="auto"/>
        <w:jc w:val="both"/>
      </w:pPr>
      <w:r>
        <w:rPr>
          <w:rFonts w:ascii="Times New Roman" w:hAnsi="Times New Roman" w:eastAsia="Times New Roman"/>
          <w:b/>
          <w:sz w:val="21"/>
        </w:rPr>
        <w:t>RQ1.</w:t>
      </w:r>
      <w:r>
        <w:rPr>
          <w:rFonts w:ascii="Times New Roman" w:hAnsi="Times New Roman" w:eastAsia="Times New Roman"/>
          <w:sz w:val="21"/>
        </w:rPr>
        <w:t xml:space="preserve"> How can an AIED system operationalize curricular boundaries so that personalization diagnoses genuine prerequisites without pretesting or replacing lesson targets?</w:t>
      </w:r>
    </w:p>
    <w:p>
      <w:pPr>
        <w:spacing w:after="100" w:line="293" w:lineRule="auto"/>
        <w:jc w:val="both"/>
      </w:pPr>
      <w:r>
        <w:rPr>
          <w:rFonts w:ascii="Times New Roman" w:hAnsi="Times New Roman" w:eastAsia="Times New Roman"/>
          <w:b/>
          <w:sz w:val="21"/>
        </w:rPr>
        <w:t>RQ2.</w:t>
      </w:r>
      <w:r>
        <w:rPr>
          <w:rFonts w:ascii="Times New Roman" w:hAnsi="Times New Roman" w:eastAsia="Times New Roman"/>
          <w:sz w:val="21"/>
        </w:rPr>
        <w:t xml:space="preserve"> How can generative AI participate as both tutor and project teammate while preserving learner epistemic agency and teacher authority across PjBL?</w:t>
      </w:r>
    </w:p>
    <w:p>
      <w:pPr>
        <w:spacing w:after="100" w:line="293" w:lineRule="auto"/>
        <w:jc w:val="both"/>
      </w:pPr>
      <w:r>
        <w:rPr>
          <w:rFonts w:ascii="Times New Roman" w:hAnsi="Times New Roman" w:eastAsia="Times New Roman"/>
          <w:b/>
          <w:sz w:val="21"/>
        </w:rPr>
        <w:t>RQ3.</w:t>
      </w:r>
      <w:r>
        <w:rPr>
          <w:rFonts w:ascii="Times New Roman" w:hAnsi="Times New Roman" w:eastAsia="Times New Roman"/>
          <w:sz w:val="21"/>
        </w:rPr>
        <w:t xml:space="preserve"> To what extent does the implemented OpenPBL artifact faithfully instantiate these principles, and what remains to be established before claims about educational effectiveness are warranted?</w:t>
      </w:r>
    </w:p>
    <w:p>
      <w:pPr>
        <w:spacing w:after="100" w:line="293" w:lineRule="auto"/>
        <w:jc w:val="both"/>
      </w:pPr>
      <w:r>
        <w:rPr>
          <w:rFonts w:ascii="Times New Roman" w:hAnsi="Times New Roman" w:eastAsia="Times New Roman"/>
          <w:sz w:val="21"/>
        </w:rPr>
        <w:t xml:space="preserve">The paper makes four contributions. First, it proposes a five-part </w:t>
      </w:r>
      <w:r>
        <w:rPr>
          <w:rFonts w:ascii="Times New Roman" w:hAnsi="Times New Roman" w:eastAsia="Times New Roman"/>
          <w:b/>
          <w:sz w:val="21"/>
        </w:rPr>
        <w:t>authority topology</w:t>
      </w:r>
      <w:r>
        <w:rPr>
          <w:rFonts w:ascii="Times New Roman" w:hAnsi="Times New Roman" w:eastAsia="Times New Roman"/>
          <w:sz w:val="21"/>
        </w:rPr>
        <w:t xml:space="preserve"> for curricular, instructional, adaptive, productive, and evaluative decisions. Second, it derives five reusable design principles for curriculum-anchored and evidence-gated co-agency. Third, it shows how those principles can be compiled into inspectable system constraints, including role-aware knowledge graphs, a strict prerequisite loop, a single terminal mastery assessment, reversible workspace operations, and evidence-dependent stage progression. Fourth, it distinguishes implementation fidelity from educational efficacy and specifies a classroom research program capable of testing the proposed mechanisms.</w:t>
      </w:r>
    </w:p>
    <w:p>
      <w:pPr>
        <w:pStyle w:val="Heading1"/>
      </w:pPr>
      <w:r>
        <w:rPr>
          <w:rFonts w:ascii="Times New Roman" w:hAnsi="Times New Roman" w:eastAsia="Times New Roman"/>
          <w:sz w:val="31"/>
        </w:rPr>
        <w:t>2. Theoretical and Empirical Background</w:t>
      </w:r>
    </w:p>
    <w:p>
      <w:pPr>
        <w:pStyle w:val="Heading2"/>
      </w:pPr>
      <w:r>
        <w:rPr>
          <w:rFonts w:ascii="Times New Roman" w:hAnsi="Times New Roman" w:eastAsia="Times New Roman"/>
          <w:sz w:val="25"/>
        </w:rPr>
        <w:t>2.1 PjBL requires scaffolding without appropriation</w:t>
      </w:r>
    </w:p>
    <w:p>
      <w:pPr>
        <w:spacing w:after="100" w:line="293" w:lineRule="auto"/>
        <w:jc w:val="both"/>
      </w:pPr>
      <w:r>
        <w:rPr>
          <w:rFonts w:ascii="Times New Roman" w:hAnsi="Times New Roman" w:eastAsia="Times New Roman"/>
          <w:sz w:val="21"/>
        </w:rPr>
        <w:t>PjBL places students in uncertain problem spaces where goals, evidence, methods, and quality criteria must be progressively clarified. This uncertainty is educationally productive but can overwhelm novices. Scaffolding therefore reduces nonproductive complexity while preserving the central intellectual work of the task (Hmelo-Silver et al., 2007). Computer-based scaffolding has a small-to-moderate positive effect in problem-based STEM contexts, with effectiveness varying by function and context (Kim et al., 2018). The design challenge is not merely to provide more help, but to calibrate help so that it supports participation and then makes learner competence visible.</w:t>
      </w:r>
    </w:p>
    <w:p>
      <w:pPr>
        <w:spacing w:after="100" w:line="293" w:lineRule="auto"/>
        <w:jc w:val="both"/>
      </w:pPr>
      <w:r>
        <w:rPr>
          <w:rFonts w:ascii="Times New Roman" w:hAnsi="Times New Roman" w:eastAsia="Times New Roman"/>
          <w:sz w:val="21"/>
        </w:rPr>
        <w:t>Generative AI complicates this calibration because the same interface can explain a concept, generate an answer, propose a design, write an artifact, and evaluate the result. Traditional distinctions between a tutor, tool, peer, and assessor become porous. In PjBL, an AI-generated product may be superficially excellent while concealing weak conceptual understanding, limited verification, or minimal student decision-making. Accordingly, the unit of educational design must include not only the product but the sequence of inquiry, evidence, decisions, and revisions that produced it.</w:t>
      </w:r>
    </w:p>
    <w:p>
      <w:pPr>
        <w:pStyle w:val="Heading2"/>
      </w:pPr>
      <w:r>
        <w:rPr>
          <w:rFonts w:ascii="Times New Roman" w:hAnsi="Times New Roman" w:eastAsia="Times New Roman"/>
          <w:sz w:val="25"/>
        </w:rPr>
        <w:t>2.2 From student-AI interaction to co-agency</w:t>
      </w:r>
    </w:p>
    <w:p>
      <w:pPr>
        <w:spacing w:after="100" w:line="293" w:lineRule="auto"/>
        <w:jc w:val="both"/>
      </w:pPr>
      <w:r>
        <w:rPr>
          <w:rFonts w:ascii="Times New Roman" w:hAnsi="Times New Roman" w:eastAsia="Times New Roman"/>
          <w:sz w:val="21"/>
        </w:rPr>
        <w:t>Teachers envision productive student-AI collaboration as evolving from learning about AI, to learning from AI, to learning together with AI. They also emphasize authentic tasks, process-oriented assessment, disciplinary knowledge, error analysis, and a safe-to-fail culture (Kim, Lee, &amp; Cho, 2022). This view treats AI as a participant in activity rather than a neutral delivery channel. Recent work on epistemic co-agency similarly argues that learners must reason with, through, and against AI while retaining responsibility for knowledge claims (Samuel, 2026).</w:t>
      </w:r>
    </w:p>
    <w:p>
      <w:pPr>
        <w:spacing w:after="100" w:line="293" w:lineRule="auto"/>
        <w:jc w:val="both"/>
      </w:pPr>
      <w:r>
        <w:rPr>
          <w:rFonts w:ascii="Times New Roman" w:hAnsi="Times New Roman" w:eastAsia="Times New Roman"/>
          <w:sz w:val="21"/>
        </w:rPr>
        <w:t>Co-agency is not automatically empowering. Student teachers exhibit distinct agency profiles in AI-supported learning environments, including balanced engagement and uncritical reliance (Chaaban et al., 2025). In collaborative learning, students can imagine AI supporting planning, monitoring, and reflection, but lower domain knowledge may increase the likelihood of adopting AI suggestions without sufficient trial, evaluation, or ownership (Kim et al., 2025). Darvishi et al. (2024) further show that frequent AI support may produce dependence rather than transferable regulation. These findings imply that agency should be treated as a dynamic relation among people, technologies, tasks, and institutional rules, not as a stable learner trait or a binary “AI/no-AI” property (Mouta et al., 2025).</w:t>
      </w:r>
    </w:p>
    <w:p>
      <w:pPr>
        <w:spacing w:after="100" w:line="293" w:lineRule="auto"/>
        <w:jc w:val="both"/>
      </w:pPr>
      <w:r>
        <w:rPr>
          <w:rFonts w:ascii="Times New Roman" w:hAnsi="Times New Roman" w:eastAsia="Times New Roman"/>
          <w:sz w:val="21"/>
        </w:rPr>
        <w:t xml:space="preserve">We define </w:t>
      </w:r>
      <w:r>
        <w:rPr>
          <w:rFonts w:ascii="Times New Roman" w:hAnsi="Times New Roman" w:eastAsia="Times New Roman"/>
          <w:b/>
          <w:sz w:val="21"/>
        </w:rPr>
        <w:t>human-AI co-agency for learning</w:t>
      </w:r>
      <w:r>
        <w:rPr>
          <w:rFonts w:ascii="Times New Roman" w:hAnsi="Times New Roman" w:eastAsia="Times New Roman"/>
          <w:sz w:val="21"/>
        </w:rPr>
        <w:t xml:space="preserve"> as the negotiated distribution of initiative and action among learners, teachers, and AI in pursuit of educational goals, where the distribution remains visible, contestable, and accountable. </w:t>
      </w:r>
      <w:r>
        <w:rPr>
          <w:rFonts w:ascii="Times New Roman" w:hAnsi="Times New Roman" w:eastAsia="Times New Roman"/>
          <w:b/>
          <w:sz w:val="21"/>
        </w:rPr>
        <w:t>Epistemic agency</w:t>
      </w:r>
      <w:r>
        <w:rPr>
          <w:rFonts w:ascii="Times New Roman" w:hAnsi="Times New Roman" w:eastAsia="Times New Roman"/>
          <w:sz w:val="21"/>
        </w:rPr>
        <w:t xml:space="preserve"> concerns responsibility for framing questions, judging evidence, and endorsing knowledge claims. </w:t>
      </w:r>
      <w:r>
        <w:rPr>
          <w:rFonts w:ascii="Times New Roman" w:hAnsi="Times New Roman" w:eastAsia="Times New Roman"/>
          <w:b/>
          <w:sz w:val="21"/>
        </w:rPr>
        <w:t>Productive agency</w:t>
      </w:r>
      <w:r>
        <w:rPr>
          <w:rFonts w:ascii="Times New Roman" w:hAnsi="Times New Roman" w:eastAsia="Times New Roman"/>
          <w:sz w:val="21"/>
        </w:rPr>
        <w:t xml:space="preserve"> concerns control over creating and revising artifacts. </w:t>
      </w:r>
      <w:r>
        <w:rPr>
          <w:rFonts w:ascii="Times New Roman" w:hAnsi="Times New Roman" w:eastAsia="Times New Roman"/>
          <w:b/>
          <w:sz w:val="21"/>
        </w:rPr>
        <w:t>Evaluative authority</w:t>
      </w:r>
      <w:r>
        <w:rPr>
          <w:rFonts w:ascii="Times New Roman" w:hAnsi="Times New Roman" w:eastAsia="Times New Roman"/>
          <w:sz w:val="21"/>
        </w:rPr>
        <w:t xml:space="preserve"> concerns consequential judgments about mastery, progression, and quality. The three should not be conflated: a student may delegate a productive action while retaining epistemic and evaluative responsibility.</w:t>
      </w:r>
    </w:p>
    <w:p>
      <w:pPr>
        <w:pStyle w:val="Heading2"/>
      </w:pPr>
      <w:r>
        <w:rPr>
          <w:rFonts w:ascii="Times New Roman" w:hAnsi="Times New Roman" w:eastAsia="Times New Roman"/>
          <w:sz w:val="25"/>
        </w:rPr>
        <w:t>2.3 Guardrails must be pedagogical, not merely safety filters</w:t>
      </w:r>
    </w:p>
    <w:p>
      <w:pPr>
        <w:spacing w:after="100" w:line="293" w:lineRule="auto"/>
        <w:jc w:val="both"/>
      </w:pPr>
      <w:r>
        <w:rPr>
          <w:rFonts w:ascii="Times New Roman" w:hAnsi="Times New Roman" w:eastAsia="Times New Roman"/>
          <w:sz w:val="21"/>
        </w:rPr>
        <w:t>The strongest current evidence suggests that the educational consequences of generative AI depend on interaction design. Kestin et al. (2025) reported stronger learning in a structured AI-tutoring condition than in an active-learning comparison, while Bastani et al. (2025) found that unguarded assistance harmed later unaided performance and that teacher-designed hints mitigated the effect. These studies differ in population, subject, duration, and comparison, but together they reject a capability-only view. An educational guardrail must shape the learning process: it should manage when explanations, prompts, examples, solutions, checks, and production help appear, and what independent performance follows.</w:t>
      </w:r>
    </w:p>
    <w:p>
      <w:pPr>
        <w:spacing w:after="100" w:line="293" w:lineRule="auto"/>
        <w:jc w:val="both"/>
      </w:pPr>
      <w:r>
        <w:rPr>
          <w:rFonts w:ascii="Times New Roman" w:hAnsi="Times New Roman" w:eastAsia="Times New Roman"/>
          <w:sz w:val="21"/>
        </w:rPr>
        <w:t>OpenPBL therefore treats guardrails as an instructional and governance architecture. Content safety remains necessary, but it is insufficient. A pedagogical guardrail must preserve curricular validity, productive struggle, verification, revision, and human authority. It must also produce records that allow teachers and researchers to inspect whether the intended design was enacted.</w:t>
      </w:r>
    </w:p>
    <w:p>
      <w:pPr>
        <w:pStyle w:val="Heading2"/>
      </w:pPr>
      <w:r>
        <w:rPr>
          <w:rFonts w:ascii="Times New Roman" w:hAnsi="Times New Roman" w:eastAsia="Times New Roman"/>
          <w:sz w:val="25"/>
        </w:rPr>
        <w:t>2.4 Prior knowledge, adaptation, and curricular validity</w:t>
      </w:r>
    </w:p>
    <w:p>
      <w:pPr>
        <w:spacing w:after="100" w:line="293" w:lineRule="auto"/>
        <w:jc w:val="both"/>
      </w:pPr>
      <w:r>
        <w:rPr>
          <w:rFonts w:ascii="Times New Roman" w:hAnsi="Times New Roman" w:eastAsia="Times New Roman"/>
          <w:sz w:val="21"/>
        </w:rPr>
        <w:t>Adaptive learning often begins with learner modelling, but personalization can become educationally invalid when a system confuses prerequisite knowledge with the new content that instruction is intended to teach. Prerequisite-aware recommendation demonstrates the value of modelling conceptual dependencies rather than matching only learner preferences or metadata (Chanaa &amp; El Faddouli, 2024). However, a dependency is not automatically a legitimate pretest target. A construct is a prerequisite only if it is expected prior knowledge, necessary for access to the lesson, and observable through a diagnostic task.</w:t>
      </w:r>
    </w:p>
    <w:p>
      <w:pPr>
        <w:spacing w:after="100" w:line="293" w:lineRule="auto"/>
        <w:jc w:val="both"/>
      </w:pPr>
      <w:r>
        <w:rPr>
          <w:rFonts w:ascii="Times New Roman" w:hAnsi="Times New Roman" w:eastAsia="Times New Roman"/>
          <w:sz w:val="21"/>
        </w:rPr>
        <w:t>This distinction matters for fairness and interpretation. Testing new lesson targets before teaching can disadvantage novices and turn personalization into premature tracking. Conversely, omitting genuine prerequisites can cause students to fail core instruction for reasons unrelated to the intended learning goal. OpenPBL addresses this problem through role-labelled curriculum nodes, typed dependency edges, one-to-one diagnostic-remediation mappings, and independent semantic review.</w:t>
      </w:r>
    </w:p>
    <w:p>
      <w:pPr>
        <w:pStyle w:val="Heading2"/>
      </w:pPr>
      <w:r>
        <w:rPr>
          <w:rFonts w:ascii="Times New Roman" w:hAnsi="Times New Roman" w:eastAsia="Times New Roman"/>
          <w:sz w:val="25"/>
        </w:rPr>
        <w:t>2.5 Regulation, evidence, and teacher orchestration</w:t>
      </w:r>
    </w:p>
    <w:p>
      <w:pPr>
        <w:spacing w:after="100" w:line="293" w:lineRule="auto"/>
        <w:jc w:val="both"/>
      </w:pPr>
      <w:r>
        <w:rPr>
          <w:rFonts w:ascii="Times New Roman" w:hAnsi="Times New Roman" w:eastAsia="Times New Roman"/>
          <w:sz w:val="21"/>
        </w:rPr>
        <w:t>SRL comprises cyclical processes of forethought, performance, and reflection; collaborative learning also involves co-regulation and socially shared regulation (Hadwin, Järvelä, &amp; Miller, 2018). A recent mapping review found that AI-SRL research concentrates on cognition and metacognition, underexamines motivation, overrepresents higher education, and often lacks explicit SRL theory (Banihashem et al., 2025). Multimodal and trace data may make regulation more visible, but observed activity is not equivalent to a psychological state or learning (de Mooij et al., 2025).</w:t>
      </w:r>
    </w:p>
    <w:p>
      <w:pPr>
        <w:spacing w:after="100" w:line="293" w:lineRule="auto"/>
        <w:jc w:val="both"/>
      </w:pPr>
      <w:r>
        <w:rPr>
          <w:rFonts w:ascii="Times New Roman" w:hAnsi="Times New Roman" w:eastAsia="Times New Roman"/>
          <w:sz w:val="21"/>
        </w:rPr>
        <w:t>Teachers therefore remain essential interpreters. Classroom orchestration involves managing multiple activities, time constraints, social configurations, and learning goals (Dillenbourg, 2013). Teacher-facing analytics can improve awareness, but effective designs complement rather than replace professional judgment (Holstein et al., 2019; Possaghi et al., 2025). OpenPBL uses evidence to prioritize attention and gate progression, but does not grant AI final authority over consequential assessment or stage transitions.</w:t>
      </w:r>
    </w:p>
    <w:p>
      <w:pPr>
        <w:pStyle w:val="Heading1"/>
      </w:pPr>
      <w:r>
        <w:rPr>
          <w:rFonts w:ascii="Times New Roman" w:hAnsi="Times New Roman" w:eastAsia="Times New Roman"/>
          <w:sz w:val="31"/>
        </w:rPr>
        <w:t>3. Conceptual Framework: An Authority Topology for Educational AI</w:t>
      </w:r>
    </w:p>
    <w:p>
      <w:pPr>
        <w:spacing w:after="100" w:line="293" w:lineRule="auto"/>
        <w:jc w:val="both"/>
      </w:pPr>
      <w:r>
        <w:rPr>
          <w:rFonts w:ascii="Times New Roman" w:hAnsi="Times New Roman" w:eastAsia="Times New Roman"/>
          <w:sz w:val="21"/>
        </w:rPr>
        <w:t xml:space="preserve">The framework begins from a simple proposition: </w:t>
      </w:r>
      <w:r>
        <w:rPr>
          <w:rFonts w:ascii="Times New Roman" w:hAnsi="Times New Roman" w:eastAsia="Times New Roman"/>
          <w:b/>
          <w:sz w:val="21"/>
        </w:rPr>
        <w:t>an educational AI system is partly defined by who may make which consequential decision, on what basis, and whether that decision can be contested or reversed</w:t>
      </w:r>
      <w:r>
        <w:rPr>
          <w:rFonts w:ascii="Times New Roman" w:hAnsi="Times New Roman" w:eastAsia="Times New Roman"/>
          <w:sz w:val="21"/>
        </w:rPr>
        <w:t>. We distinguish five forms of authority (Table 1).</w:t>
      </w:r>
    </w:p>
    <w:p>
      <w:pPr>
        <w:pStyle w:val="Heading2"/>
      </w:pPr>
      <w:r>
        <w:rPr>
          <w:rFonts w:ascii="Times New Roman" w:hAnsi="Times New Roman" w:eastAsia="Times New Roman"/>
          <w:sz w:val="25"/>
        </w:rPr>
        <w:t>Table 1. Distribution of authority in OpenPBL</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cantSplit/>
          <w:tblHeader w:val="true"/>
        </w:trPr>
        <w:tc>
          <w:tcPr>
            <w:tcW w:type="dxa" w:w="1930"/>
            <w:vAlign w:val="center"/>
            <w:tcMar>
              <w:top w:w="90" w:type="dxa"/>
              <w:start w:w="105" w:type="dxa"/>
              <w:bottom w:w="90" w:type="dxa"/>
              <w:end w:w="105" w:type="dxa"/>
            </w:tcMar>
            <w:shd w:fill="20354A"/>
          </w:tcPr>
          <w:p>
            <w:pPr>
              <w:spacing w:after="0" w:line="252" w:lineRule="auto"/>
              <w:jc w:val="left"/>
            </w:pPr>
            <w:r>
              <w:rPr>
                <w:rFonts w:ascii="Times New Roman" w:hAnsi="Times New Roman" w:eastAsia="Times New Roman"/>
                <w:b/>
                <w:color w:val="FFFFFF"/>
                <w:sz w:val="19"/>
              </w:rPr>
              <w:t>Authority</w:t>
            </w:r>
          </w:p>
        </w:tc>
        <w:tc>
          <w:tcPr>
            <w:tcW w:type="dxa" w:w="1930"/>
            <w:vAlign w:val="center"/>
            <w:tcMar>
              <w:top w:w="90" w:type="dxa"/>
              <w:start w:w="105" w:type="dxa"/>
              <w:bottom w:w="90" w:type="dxa"/>
              <w:end w:w="105" w:type="dxa"/>
            </w:tcMar>
            <w:shd w:fill="20354A"/>
          </w:tcPr>
          <w:p>
            <w:pPr>
              <w:spacing w:after="0" w:line="252" w:lineRule="auto"/>
              <w:jc w:val="left"/>
            </w:pPr>
            <w:r>
              <w:rPr>
                <w:rFonts w:ascii="Times New Roman" w:hAnsi="Times New Roman" w:eastAsia="Times New Roman"/>
                <w:b/>
                <w:color w:val="FFFFFF"/>
                <w:sz w:val="19"/>
              </w:rPr>
              <w:t>Core question</w:t>
            </w:r>
          </w:p>
        </w:tc>
        <w:tc>
          <w:tcPr>
            <w:tcW w:type="dxa" w:w="1930"/>
            <w:vAlign w:val="center"/>
            <w:tcMar>
              <w:top w:w="90" w:type="dxa"/>
              <w:start w:w="105" w:type="dxa"/>
              <w:bottom w:w="90" w:type="dxa"/>
              <w:end w:w="105" w:type="dxa"/>
            </w:tcMar>
            <w:shd w:fill="20354A"/>
          </w:tcPr>
          <w:p>
            <w:pPr>
              <w:spacing w:after="0" w:line="252" w:lineRule="auto"/>
              <w:jc w:val="left"/>
            </w:pPr>
            <w:r>
              <w:rPr>
                <w:rFonts w:ascii="Times New Roman" w:hAnsi="Times New Roman" w:eastAsia="Times New Roman"/>
                <w:b/>
                <w:color w:val="FFFFFF"/>
                <w:sz w:val="19"/>
              </w:rPr>
              <w:t>Primary human authority</w:t>
            </w:r>
          </w:p>
        </w:tc>
        <w:tc>
          <w:tcPr>
            <w:tcW w:type="dxa" w:w="1930"/>
            <w:vAlign w:val="center"/>
            <w:tcMar>
              <w:top w:w="90" w:type="dxa"/>
              <w:start w:w="105" w:type="dxa"/>
              <w:bottom w:w="90" w:type="dxa"/>
              <w:end w:w="105" w:type="dxa"/>
            </w:tcMar>
            <w:shd w:fill="20354A"/>
          </w:tcPr>
          <w:p>
            <w:pPr>
              <w:spacing w:after="0" w:line="252" w:lineRule="auto"/>
              <w:jc w:val="left"/>
            </w:pPr>
            <w:r>
              <w:rPr>
                <w:rFonts w:ascii="Times New Roman" w:hAnsi="Times New Roman" w:eastAsia="Times New Roman"/>
                <w:b/>
                <w:color w:val="FFFFFF"/>
                <w:sz w:val="19"/>
              </w:rPr>
              <w:t>Permitted AI/system role</w:t>
            </w:r>
          </w:p>
        </w:tc>
        <w:tc>
          <w:tcPr>
            <w:tcW w:type="dxa" w:w="1930"/>
            <w:vAlign w:val="center"/>
            <w:tcMar>
              <w:top w:w="90" w:type="dxa"/>
              <w:start w:w="105" w:type="dxa"/>
              <w:bottom w:w="90" w:type="dxa"/>
              <w:end w:w="105" w:type="dxa"/>
            </w:tcMar>
            <w:shd w:fill="20354A"/>
          </w:tcPr>
          <w:p>
            <w:pPr>
              <w:spacing w:after="0" w:line="252" w:lineRule="auto"/>
              <w:jc w:val="left"/>
            </w:pPr>
            <w:r>
              <w:rPr>
                <w:rFonts w:ascii="Times New Roman" w:hAnsi="Times New Roman" w:eastAsia="Times New Roman"/>
                <w:b/>
                <w:color w:val="FFFFFF"/>
                <w:sz w:val="19"/>
              </w:rPr>
              <w:t>Non-delegable boundary</w:t>
            </w:r>
          </w:p>
        </w:tc>
      </w:tr>
      <w:tr>
        <w:trPr>
          <w:cantSplit/>
        </w:trPr>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Curricular</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What knowledge is prior, core, or optional?</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Teacher inspects and may revise goals, roles, and dependencies</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Generate and semantically review a draft graph; compile typed relations</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AI cannot silently redefine teacher-approved learning goals</w:t>
            </w:r>
          </w:p>
        </w:tc>
      </w:tr>
      <w:tr>
        <w:trPr>
          <w:cantSplit/>
        </w:trPr>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Instructional</w:t>
            </w:r>
          </w:p>
        </w:tc>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What sequence constitutes teaching and assessment?</w:t>
            </w:r>
          </w:p>
        </w:tc>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Teacher sets course intent and may edit the plan</w:t>
            </w:r>
          </w:p>
        </w:tc>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Produce explanation, example, guided practice, feedback, and a bounded terminal assessment</w:t>
            </w:r>
          </w:p>
        </w:tc>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Practice cannot be relabelled as mastery; enrichment cannot replace core instruction</w:t>
            </w:r>
          </w:p>
        </w:tc>
      </w:tr>
      <w:tr>
        <w:trPr>
          <w:cantSplit/>
        </w:trPr>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Adaptive</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What support follows learner evidence?</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Student engages; teacher can inspect or intervene</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Diagnose specified prerequisite gaps, route remediation, select time-contingent enrichment</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AI cannot use global ability labels to skip the full main lesson</w:t>
            </w:r>
          </w:p>
        </w:tc>
      </w:tr>
      <w:tr>
        <w:trPr>
          <w:cantSplit/>
        </w:trPr>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Productive</w:t>
            </w:r>
          </w:p>
        </w:tc>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Who changes the project artifact?</w:t>
            </w:r>
          </w:p>
        </w:tc>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Student frames tasks, requests edits, accepts or undoes changes</w:t>
            </w:r>
          </w:p>
        </w:tc>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Apply whitelisted append/replace operations under explicit delegation</w:t>
            </w:r>
          </w:p>
        </w:tc>
        <w:tc>
          <w:tcPr>
            <w:tcW w:type="dxa" w:w="1930"/>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AI cannot submit work, complete a stage, or conceal its contribution</w:t>
            </w:r>
          </w:p>
        </w:tc>
      </w:tr>
      <w:tr>
        <w:trPr>
          <w:cantSplit/>
        </w:trPr>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Evaluative</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Who decides readiness, quality, or progression?</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Student submits; teacher makes consequential judgments</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Validate structural evidence, surface risks, and recommend attention</w:t>
            </w:r>
          </w:p>
        </w:tc>
        <w:tc>
          <w:tcPr>
            <w:tcW w:type="dxa" w:w="1930"/>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AI cannot confirm teacher decisions or become the final assessor</w:t>
            </w:r>
          </w:p>
        </w:tc>
      </w:tr>
    </w:tbl>
    <w:p>
      <w:pPr>
        <w:spacing w:after="20"/>
      </w:pPr>
    </w:p>
    <w:p>
      <w:pPr>
        <w:keepLines/>
        <w:spacing w:before="120" w:after="60"/>
        <w:jc w:val="center"/>
      </w:pPr>
      <w:r>
        <w:drawing>
          <wp:inline xmlns:a="http://schemas.openxmlformats.org/drawingml/2006/main" xmlns:pic="http://schemas.openxmlformats.org/drawingml/2006/picture">
            <wp:extent cx="5989320" cy="3656637"/>
            <wp:docPr id="1" name="Picture 1"/>
            <wp:cNvGraphicFramePr>
              <a:graphicFrameLocks noChangeAspect="1"/>
            </wp:cNvGraphicFramePr>
            <a:graphic>
              <a:graphicData uri="http://schemas.openxmlformats.org/drawingml/2006/picture">
                <pic:pic>
                  <pic:nvPicPr>
                    <pic:cNvPr id="0" name="authority_topology_en.png"/>
                    <pic:cNvPicPr/>
                  </pic:nvPicPr>
                  <pic:blipFill>
                    <a:blip r:embed="rId11"/>
                    <a:stretch>
                      <a:fillRect/>
                    </a:stretch>
                  </pic:blipFill>
                  <pic:spPr>
                    <a:xfrm>
                      <a:off x="0" y="0"/>
                      <a:ext cx="5989320" cy="3656637"/>
                    </a:xfrm>
                    <a:prstGeom prst="rect"/>
                  </pic:spPr>
                </pic:pic>
              </a:graphicData>
            </a:graphic>
          </wp:inline>
        </w:drawing>
      </w:r>
    </w:p>
    <w:p>
      <w:pPr>
        <w:keepNext w:val="0"/>
        <w:spacing w:after="140"/>
        <w:jc w:val="center"/>
      </w:pPr>
      <w:r>
        <w:rPr>
          <w:rFonts w:ascii="Times New Roman" w:hAnsi="Times New Roman" w:eastAsia="Times New Roman"/>
          <w:i/>
          <w:color w:val="677788"/>
          <w:sz w:val="17"/>
        </w:rPr>
        <w:t>Figure 1. OpenPBL's five-part authority topology and executable safeguards.</w:t>
      </w:r>
    </w:p>
    <w:p>
      <w:pPr>
        <w:spacing w:after="100" w:line="293" w:lineRule="auto"/>
        <w:jc w:val="both"/>
      </w:pPr>
      <w:r>
        <w:rPr>
          <w:rFonts w:ascii="Times New Roman" w:hAnsi="Times New Roman" w:eastAsia="Times New Roman"/>
          <w:sz w:val="21"/>
        </w:rPr>
        <w:t xml:space="preserve">This topology reframes “human in the loop.” A human click is not meaningful control if the system has already collapsed the decision space or obscured the basis of an action. Conversely, direct AI contribution is not necessarily a loss of agency if the learner initiated a bounded task, can inspect the change, understands its source, can reject or undo it, and must still provide evidence of understanding and revision. Meaningful control depends on </w:t>
      </w:r>
      <w:r>
        <w:rPr>
          <w:rFonts w:ascii="Times New Roman" w:hAnsi="Times New Roman" w:eastAsia="Times New Roman"/>
          <w:b/>
          <w:sz w:val="21"/>
        </w:rPr>
        <w:t>scope, visibility, reversibility, and retained consequence</w:t>
      </w:r>
      <w:r>
        <w:rPr>
          <w:rFonts w:ascii="Times New Roman" w:hAnsi="Times New Roman" w:eastAsia="Times New Roman"/>
          <w:sz w:val="21"/>
        </w:rPr>
        <w:t>.</w:t>
      </w:r>
    </w:p>
    <w:p>
      <w:pPr>
        <w:spacing w:after="100" w:line="293" w:lineRule="auto"/>
        <w:jc w:val="both"/>
      </w:pPr>
      <w:r>
        <w:rPr>
          <w:rFonts w:ascii="Times New Roman" w:hAnsi="Times New Roman" w:eastAsia="Times New Roman"/>
          <w:sz w:val="21"/>
        </w:rPr>
        <w:t>Five design principles follow.</w:t>
      </w:r>
    </w:p>
    <w:p>
      <w:pPr>
        <w:spacing w:after="100" w:line="293" w:lineRule="auto"/>
        <w:jc w:val="both"/>
      </w:pPr>
      <w:r>
        <w:rPr>
          <w:rFonts w:ascii="Times New Roman" w:hAnsi="Times New Roman" w:eastAsia="Times New Roman"/>
          <w:b/>
          <w:sz w:val="21"/>
        </w:rPr>
        <w:t>DP1: Curriculum before personalization.</w:t>
      </w:r>
      <w:r>
        <w:rPr>
          <w:rFonts w:ascii="Times New Roman" w:hAnsi="Times New Roman" w:eastAsia="Times New Roman"/>
          <w:sz w:val="21"/>
        </w:rPr>
        <w:t xml:space="preserve"> Personalization must operate inside an explicit curriculum model that distinguishes expected prior knowledge, lesson targets, and optional extension.</w:t>
      </w:r>
    </w:p>
    <w:p>
      <w:pPr>
        <w:spacing w:after="100" w:line="293" w:lineRule="auto"/>
        <w:jc w:val="both"/>
      </w:pPr>
      <w:r>
        <w:rPr>
          <w:rFonts w:ascii="Times New Roman" w:hAnsi="Times New Roman" w:eastAsia="Times New Roman"/>
          <w:b/>
          <w:sz w:val="21"/>
        </w:rPr>
        <w:t>DP2: Teach before judging.</w:t>
      </w:r>
      <w:r>
        <w:rPr>
          <w:rFonts w:ascii="Times New Roman" w:hAnsi="Times New Roman" w:eastAsia="Times New Roman"/>
          <w:sz w:val="21"/>
        </w:rPr>
        <w:t xml:space="preserve"> Core instruction should move through explanation, worked or visible reasoning, ungraded practice, and feedback before a single graded terminal mastery assessment.</w:t>
      </w:r>
    </w:p>
    <w:p>
      <w:pPr>
        <w:spacing w:after="100" w:line="293" w:lineRule="auto"/>
        <w:jc w:val="both"/>
      </w:pPr>
      <w:r>
        <w:rPr>
          <w:rFonts w:ascii="Times New Roman" w:hAnsi="Times New Roman" w:eastAsia="Times New Roman"/>
          <w:b/>
          <w:sz w:val="21"/>
        </w:rPr>
        <w:t>DP3: Remediate evidence-specific gaps, not global learner labels.</w:t>
      </w:r>
      <w:r>
        <w:rPr>
          <w:rFonts w:ascii="Times New Roman" w:hAnsi="Times New Roman" w:eastAsia="Times New Roman"/>
          <w:sz w:val="21"/>
        </w:rPr>
        <w:t xml:space="preserve"> Adaptive support should respond to identified prerequisite evidence and then return every learner to the full lesson.</w:t>
      </w:r>
    </w:p>
    <w:p>
      <w:pPr>
        <w:spacing w:after="100" w:line="293" w:lineRule="auto"/>
        <w:jc w:val="both"/>
      </w:pPr>
      <w:r>
        <w:rPr>
          <w:rFonts w:ascii="Times New Roman" w:hAnsi="Times New Roman" w:eastAsia="Times New Roman"/>
          <w:b/>
          <w:sz w:val="21"/>
        </w:rPr>
        <w:t>DP4: Delegate productively, retain agency consequentially.</w:t>
      </w:r>
      <w:r>
        <w:rPr>
          <w:rFonts w:ascii="Times New Roman" w:hAnsi="Times New Roman" w:eastAsia="Times New Roman"/>
          <w:sz w:val="21"/>
        </w:rPr>
        <w:t xml:space="preserve"> AI changes to learner artifacts must be explicitly requested, narrowly scoped, attributable, conflict-aware, and reversible; students retain submission authority.</w:t>
      </w:r>
    </w:p>
    <w:p>
      <w:pPr>
        <w:spacing w:after="100" w:line="293" w:lineRule="auto"/>
        <w:jc w:val="both"/>
      </w:pPr>
      <w:r>
        <w:rPr>
          <w:rFonts w:ascii="Times New Roman" w:hAnsi="Times New Roman" w:eastAsia="Times New Roman"/>
          <w:b/>
          <w:sz w:val="21"/>
        </w:rPr>
        <w:t>DP5: Progress through evidence and human adjudication.</w:t>
      </w:r>
      <w:r>
        <w:rPr>
          <w:rFonts w:ascii="Times New Roman" w:hAnsi="Times New Roman" w:eastAsia="Times New Roman"/>
          <w:sz w:val="21"/>
        </w:rPr>
        <w:t xml:space="preserve"> Stage completion should depend on evidence of inquiry, testing, interpretation, and revision, with teacher authority over consequential evaluation and intervention.</w:t>
      </w:r>
    </w:p>
    <w:p>
      <w:pPr>
        <w:spacing w:after="100" w:line="293" w:lineRule="auto"/>
        <w:jc w:val="both"/>
      </w:pPr>
      <w:r>
        <w:rPr>
          <w:rFonts w:ascii="Times New Roman" w:hAnsi="Times New Roman" w:eastAsia="Times New Roman"/>
          <w:sz w:val="21"/>
        </w:rPr>
        <w:t>These principles form a conjecture map: if curricular boundaries are explicit, support is sequenced around learning, delegation is reversible, and progression requires evidence, then AI may increase useful assistance without necessarily displacing the learner's epistemic work. The conjecture remains empirical; the present study evaluates only whether the artifact faithfully embodies the hypothesized mechanisms.</w:t>
      </w:r>
    </w:p>
    <w:p>
      <w:pPr>
        <w:pStyle w:val="Heading1"/>
      </w:pPr>
      <w:r>
        <w:rPr>
          <w:rFonts w:ascii="Times New Roman" w:hAnsi="Times New Roman" w:eastAsia="Times New Roman"/>
          <w:sz w:val="31"/>
        </w:rPr>
        <w:t>4. Research Design</w:t>
      </w:r>
    </w:p>
    <w:p>
      <w:pPr>
        <w:pStyle w:val="Heading2"/>
      </w:pPr>
      <w:r>
        <w:rPr>
          <w:rFonts w:ascii="Times New Roman" w:hAnsi="Times New Roman" w:eastAsia="Times New Roman"/>
          <w:sz w:val="25"/>
        </w:rPr>
        <w:t>4.1 Educational design research orientation</w:t>
      </w:r>
    </w:p>
    <w:p>
      <w:pPr>
        <w:spacing w:after="100" w:line="293" w:lineRule="auto"/>
        <w:jc w:val="both"/>
      </w:pPr>
      <w:r>
        <w:rPr>
          <w:rFonts w:ascii="Times New Roman" w:hAnsi="Times New Roman" w:eastAsia="Times New Roman"/>
          <w:sz w:val="21"/>
        </w:rPr>
        <w:t>The study follows an educational design research orientation in which theory, design, implementation, and analysis inform one another in iterative cycles (Wang &amp; Hannafin, 2005). The object of analysis is not a generic software platform but a set of educational conjectures embodied in an executable artifact. The current paper documents the artifact and conducts a formative fidelity evaluation. It does not constitute an effectiveness trial.</w:t>
      </w:r>
    </w:p>
    <w:p>
      <w:pPr>
        <w:spacing w:after="100" w:line="293" w:lineRule="auto"/>
        <w:jc w:val="both"/>
      </w:pPr>
      <w:r>
        <w:rPr>
          <w:rFonts w:ascii="Times New Roman" w:hAnsi="Times New Roman" w:eastAsia="Times New Roman"/>
          <w:sz w:val="21"/>
        </w:rPr>
        <w:t>Five redesign cycles were consolidated in the August 2026 snapshot:</w:t>
      </w:r>
    </w:p>
    <w:p>
      <w:pPr>
        <w:pStyle w:val="ListNumber"/>
        <w:spacing w:after="60"/>
        <w:ind w:left="403" w:hanging="259"/>
      </w:pPr>
      <w:r>
        <w:rPr>
          <w:rFonts w:ascii="Times New Roman" w:hAnsi="Times New Roman" w:eastAsia="Times New Roman"/>
          <w:sz w:val="21"/>
        </w:rPr>
        <w:t>foundation-first deep-interactive teaching;</w:t>
      </w:r>
    </w:p>
    <w:p>
      <w:pPr>
        <w:pStyle w:val="ListNumber"/>
        <w:spacing w:after="60"/>
        <w:ind w:left="403" w:hanging="259"/>
      </w:pPr>
      <w:r>
        <w:rPr>
          <w:rFonts w:ascii="Times New Roman" w:hAnsi="Times New Roman" w:eastAsia="Times New Roman"/>
          <w:sz w:val="21"/>
        </w:rPr>
        <w:t>managed recovery for course generation while preserving quality checkpoints;</w:t>
      </w:r>
    </w:p>
    <w:p>
      <w:pPr>
        <w:pStyle w:val="ListNumber"/>
        <w:spacing w:after="60"/>
        <w:ind w:left="403" w:hanging="259"/>
      </w:pPr>
      <w:r>
        <w:rPr>
          <w:rFonts w:ascii="Times New Roman" w:hAnsi="Times New Roman" w:eastAsia="Times New Roman"/>
          <w:sz w:val="21"/>
        </w:rPr>
        <w:t>a strict prerequisite diagnostic-remediation loop;</w:t>
      </w:r>
    </w:p>
    <w:p>
      <w:pPr>
        <w:pStyle w:val="ListNumber"/>
        <w:spacing w:after="60"/>
        <w:ind w:left="403" w:hanging="259"/>
      </w:pPr>
      <w:r>
        <w:rPr>
          <w:rFonts w:ascii="Times New Roman" w:hAnsi="Times New Roman" w:eastAsia="Times New Roman"/>
          <w:sz w:val="21"/>
        </w:rPr>
        <w:t>a role-aware curriculum knowledge graph; and</w:t>
      </w:r>
    </w:p>
    <w:p>
      <w:pPr>
        <w:pStyle w:val="ListNumber"/>
        <w:spacing w:after="60"/>
        <w:ind w:left="403" w:hanging="259"/>
      </w:pPr>
      <w:r>
        <w:rPr>
          <w:rFonts w:ascii="Times New Roman" w:hAnsi="Times New Roman" w:eastAsia="Times New Roman"/>
          <w:sz w:val="21"/>
        </w:rPr>
        <w:t>direct but reversible AI collaboration in the student workspace.</w:t>
      </w:r>
    </w:p>
    <w:p>
      <w:pPr>
        <w:spacing w:after="100" w:line="293" w:lineRule="auto"/>
        <w:jc w:val="both"/>
      </w:pPr>
      <w:r>
        <w:rPr>
          <w:rFonts w:ascii="Times New Roman" w:hAnsi="Times New Roman" w:eastAsia="Times New Roman"/>
          <w:sz w:val="21"/>
        </w:rPr>
        <w:t>The cycles were documented in architecture-decision records and implemented across course generation, instructional sequencing, adaptation, project workspaces, evidence models, stage gates, and teacher-facing support.</w:t>
      </w:r>
    </w:p>
    <w:p>
      <w:pPr>
        <w:pStyle w:val="Heading2"/>
      </w:pPr>
      <w:r>
        <w:rPr>
          <w:rFonts w:ascii="Times New Roman" w:hAnsi="Times New Roman" w:eastAsia="Times New Roman"/>
          <w:sz w:val="25"/>
        </w:rPr>
        <w:t>4.2 Artifact and audit corpus</w:t>
      </w:r>
    </w:p>
    <w:p>
      <w:pPr>
        <w:spacing w:after="100" w:line="293" w:lineRule="auto"/>
        <w:jc w:val="both"/>
      </w:pPr>
      <w:r>
        <w:rPr>
          <w:rFonts w:ascii="Times New Roman" w:hAnsi="Times New Roman" w:eastAsia="Times New Roman"/>
          <w:sz w:val="21"/>
        </w:rPr>
        <w:t>The audit corpus comprised five accepted architecture-decision records, their linked implementation modules, the curriculum and learning-evidence data models, and 14 targeted test files selected because they directly exercised the new educational mechanisms. The implementation snapshot contained 58 server API routes and 47 persistent data models. These counts describe artifact scope, not educational quality.</w:t>
      </w:r>
    </w:p>
    <w:p>
      <w:pPr>
        <w:spacing w:after="100" w:line="293" w:lineRule="auto"/>
        <w:jc w:val="both"/>
      </w:pPr>
      <w:r>
        <w:rPr>
          <w:rFonts w:ascii="Times New Roman" w:hAnsi="Times New Roman" w:eastAsia="Times New Roman"/>
          <w:sz w:val="21"/>
        </w:rPr>
        <w:t>The fidelity audit used a theory-to-mechanism traceability procedure:</w:t>
      </w:r>
    </w:p>
    <w:p>
      <w:pPr>
        <w:pStyle w:val="ListNumber"/>
        <w:spacing w:after="60"/>
        <w:ind w:left="403" w:hanging="259"/>
      </w:pPr>
      <w:r>
        <w:rPr>
          <w:rFonts w:ascii="Times New Roman" w:hAnsi="Times New Roman" w:eastAsia="Times New Roman"/>
          <w:sz w:val="21"/>
        </w:rPr>
        <w:t>Each design principle was decomposed into observable system obligations.</w:t>
      </w:r>
    </w:p>
    <w:p>
      <w:pPr>
        <w:pStyle w:val="ListNumber"/>
        <w:spacing w:after="60"/>
        <w:ind w:left="403" w:hanging="259"/>
      </w:pPr>
      <w:r>
        <w:rPr>
          <w:rFonts w:ascii="Times New Roman" w:hAnsi="Times New Roman" w:eastAsia="Times New Roman"/>
          <w:sz w:val="21"/>
        </w:rPr>
        <w:t>Each obligation was mapped to data structures, validation rules, runtime policies, user actions, and tests.</w:t>
      </w:r>
    </w:p>
    <w:p>
      <w:pPr>
        <w:pStyle w:val="ListNumber"/>
        <w:spacing w:after="60"/>
        <w:ind w:left="403" w:hanging="259"/>
      </w:pPr>
      <w:r>
        <w:rPr>
          <w:rFonts w:ascii="Times New Roman" w:hAnsi="Times New Roman" w:eastAsia="Times New Roman"/>
          <w:sz w:val="21"/>
        </w:rPr>
        <w:t>Contradictory permissions were searched for, particularly routes by which AI could bypass teaching, evidence, submission, or teacher authority.</w:t>
      </w:r>
    </w:p>
    <w:p>
      <w:pPr>
        <w:pStyle w:val="ListNumber"/>
        <w:spacing w:after="60"/>
        <w:ind w:left="403" w:hanging="259"/>
      </w:pPr>
      <w:r>
        <w:rPr>
          <w:rFonts w:ascii="Times New Roman" w:hAnsi="Times New Roman" w:eastAsia="Times New Roman"/>
          <w:sz w:val="21"/>
        </w:rPr>
        <w:t>Targeted regression tests were executed on the current development snapshot.</w:t>
      </w:r>
    </w:p>
    <w:p>
      <w:pPr>
        <w:pStyle w:val="ListNumber"/>
        <w:spacing w:after="60"/>
        <w:ind w:left="403" w:hanging="259"/>
      </w:pPr>
      <w:r>
        <w:rPr>
          <w:rFonts w:ascii="Times New Roman" w:hAnsi="Times New Roman" w:eastAsia="Times New Roman"/>
          <w:sz w:val="21"/>
        </w:rPr>
        <w:t>Deviations were classified as missing mechanisms, implementation defects, or specification-test mismatches.</w:t>
      </w:r>
    </w:p>
    <w:p>
      <w:pPr>
        <w:spacing w:after="100" w:line="293" w:lineRule="auto"/>
        <w:jc w:val="both"/>
      </w:pPr>
      <w:r>
        <w:rPr>
          <w:rFonts w:ascii="Times New Roman" w:hAnsi="Times New Roman" w:eastAsia="Times New Roman"/>
          <w:sz w:val="21"/>
        </w:rPr>
        <w:t>This procedure establishes whether intended constraints are executable and testable. It does not establish that teachers or students experience the constraints as intended.</w:t>
      </w:r>
    </w:p>
    <w:p>
      <w:pPr>
        <w:pStyle w:val="Heading2"/>
      </w:pPr>
      <w:r>
        <w:rPr>
          <w:rFonts w:ascii="Times New Roman" w:hAnsi="Times New Roman" w:eastAsia="Times New Roman"/>
          <w:sz w:val="25"/>
        </w:rPr>
        <w:t>4.3 Evaluation criteria</w:t>
      </w:r>
    </w:p>
    <w:p>
      <w:pPr>
        <w:spacing w:after="100" w:line="293" w:lineRule="auto"/>
        <w:jc w:val="both"/>
      </w:pPr>
      <w:r>
        <w:rPr>
          <w:rFonts w:ascii="Times New Roman" w:hAnsi="Times New Roman" w:eastAsia="Times New Roman"/>
          <w:sz w:val="21"/>
        </w:rPr>
        <w:t xml:space="preserve">We assessed five dimensions: (a) </w:t>
      </w:r>
      <w:r>
        <w:rPr>
          <w:rFonts w:ascii="Times New Roman" w:hAnsi="Times New Roman" w:eastAsia="Times New Roman"/>
          <w:b/>
          <w:sz w:val="21"/>
        </w:rPr>
        <w:t>curricular fidelity</w:t>
      </w:r>
      <w:r>
        <w:rPr>
          <w:rFonts w:ascii="Times New Roman" w:hAnsi="Times New Roman" w:eastAsia="Times New Roman"/>
          <w:sz w:val="21"/>
        </w:rPr>
        <w:t xml:space="preserve">, whether prerequisite and lesson roles remain distinguishable; (b) </w:t>
      </w:r>
      <w:r>
        <w:rPr>
          <w:rFonts w:ascii="Times New Roman" w:hAnsi="Times New Roman" w:eastAsia="Times New Roman"/>
          <w:b/>
          <w:sz w:val="21"/>
        </w:rPr>
        <w:t>instructional fidelity</w:t>
      </w:r>
      <w:r>
        <w:rPr>
          <w:rFonts w:ascii="Times New Roman" w:hAnsi="Times New Roman" w:eastAsia="Times New Roman"/>
          <w:sz w:val="21"/>
        </w:rPr>
        <w:t xml:space="preserve">, whether practice precedes and remains distinct from mastery assessment; (c) </w:t>
      </w:r>
      <w:r>
        <w:rPr>
          <w:rFonts w:ascii="Times New Roman" w:hAnsi="Times New Roman" w:eastAsia="Times New Roman"/>
          <w:b/>
          <w:sz w:val="21"/>
        </w:rPr>
        <w:t>adaptive specificity</w:t>
      </w:r>
      <w:r>
        <w:rPr>
          <w:rFonts w:ascii="Times New Roman" w:hAnsi="Times New Roman" w:eastAsia="Times New Roman"/>
          <w:sz w:val="21"/>
        </w:rPr>
        <w:t xml:space="preserve">, whether remediation is tied to diagnosed prerequisite evidence; (d) </w:t>
      </w:r>
      <w:r>
        <w:rPr>
          <w:rFonts w:ascii="Times New Roman" w:hAnsi="Times New Roman" w:eastAsia="Times New Roman"/>
          <w:b/>
          <w:sz w:val="21"/>
        </w:rPr>
        <w:t>delegation accountability</w:t>
      </w:r>
      <w:r>
        <w:rPr>
          <w:rFonts w:ascii="Times New Roman" w:hAnsi="Times New Roman" w:eastAsia="Times New Roman"/>
          <w:sz w:val="21"/>
        </w:rPr>
        <w:t xml:space="preserve">, whether AI artifact changes are explicit, attributable, conflict-aware, and reversible; and (e) </w:t>
      </w:r>
      <w:r>
        <w:rPr>
          <w:rFonts w:ascii="Times New Roman" w:hAnsi="Times New Roman" w:eastAsia="Times New Roman"/>
          <w:b/>
          <w:sz w:val="21"/>
        </w:rPr>
        <w:t>human authority</w:t>
      </w:r>
      <w:r>
        <w:rPr>
          <w:rFonts w:ascii="Times New Roman" w:hAnsi="Times New Roman" w:eastAsia="Times New Roman"/>
          <w:sz w:val="21"/>
        </w:rPr>
        <w:t>, whether submission, consequential evaluation, and progression remain human-governed.</w:t>
      </w:r>
    </w:p>
    <w:p>
      <w:pPr>
        <w:pStyle w:val="Heading2"/>
      </w:pPr>
      <w:r>
        <w:rPr>
          <w:rFonts w:ascii="Times New Roman" w:hAnsi="Times New Roman" w:eastAsia="Times New Roman"/>
          <w:sz w:val="25"/>
        </w:rPr>
        <w:t>4.4 Ethical scope</w:t>
      </w:r>
    </w:p>
    <w:p>
      <w:pPr>
        <w:spacing w:after="100" w:line="293" w:lineRule="auto"/>
        <w:jc w:val="both"/>
      </w:pPr>
      <w:r>
        <w:rPr>
          <w:rFonts w:ascii="Times New Roman" w:hAnsi="Times New Roman" w:eastAsia="Times New Roman"/>
          <w:sz w:val="21"/>
        </w:rPr>
        <w:t>No human participants, classroom data, demographic data, or student work were collected for this study. Tests used synthetic fixtures. Consequently, institutional-review status, consent, and participant protection are not applicable to the reported audit. Any classroom deployment must add informed consent or appropriate educational research authorization, data minimization, age-appropriate transparency, privacy review, accessibility testing, model-risk procedures, and a non-AI participation pathway consistent with local requirements and UNESCO guidance (Miao &amp; Holmes, 2023).</w:t>
      </w:r>
    </w:p>
    <w:p>
      <w:pPr>
        <w:pStyle w:val="Heading1"/>
      </w:pPr>
      <w:r>
        <w:rPr>
          <w:rFonts w:ascii="Times New Roman" w:hAnsi="Times New Roman" w:eastAsia="Times New Roman"/>
          <w:sz w:val="31"/>
        </w:rPr>
        <w:t>5. The Redesigned OpenPBL Intervention</w:t>
      </w:r>
    </w:p>
    <w:p>
      <w:pPr>
        <w:pStyle w:val="Heading2"/>
      </w:pPr>
      <w:r>
        <w:rPr>
          <w:rFonts w:ascii="Times New Roman" w:hAnsi="Times New Roman" w:eastAsia="Times New Roman"/>
          <w:sz w:val="25"/>
        </w:rPr>
        <w:t>5.1 A unified, inspectable course-entry package</w:t>
      </w:r>
    </w:p>
    <w:p>
      <w:pPr>
        <w:spacing w:after="100" w:line="293" w:lineRule="auto"/>
        <w:jc w:val="both"/>
      </w:pPr>
      <w:r>
        <w:rPr>
          <w:rFonts w:ascii="Times New Roman" w:hAnsi="Times New Roman" w:eastAsia="Times New Roman"/>
          <w:sz w:val="21"/>
        </w:rPr>
        <w:t>Course authoring begins with a unified generation package rather than disconnected prompts. The package specifies the assumed educational stage, course depth, knowledge ladder, authentic prerequisites, one diagnostic item and one remediation resource per prerequisite, main lesson targets, and optional extensions. A deterministic compiler assigns stable identifiers and constructs a role-aware graph; an independent model review returns a revised complete blueprint rather than isolated comments. Deterministic validation then checks cardinality, identifiers, typed edges, diagnostic-remediation correspondence, and terminal-assessment anchoring before an atomic save.</w:t>
      </w:r>
    </w:p>
    <w:p>
      <w:pPr>
        <w:spacing w:after="100" w:line="293" w:lineRule="auto"/>
        <w:jc w:val="both"/>
      </w:pPr>
      <w:r>
        <w:rPr>
          <w:rFonts w:ascii="Times New Roman" w:hAnsi="Times New Roman" w:eastAsia="Times New Roman"/>
          <w:sz w:val="21"/>
        </w:rPr>
        <w:t xml:space="preserve">This architecture separates generative judgment from enforceable structure. A model may propose that concept A is required for lesson target B, but only a typed </w:t>
      </w:r>
      <w:r>
        <w:rPr>
          <w:rFonts w:ascii="Consolas" w:hAnsi="Consolas" w:eastAsia="Consolas"/>
          <w:color w:val="20354A"/>
          <w:sz w:val="20"/>
        </w:rPr>
        <w:t>required-prerequisite</w:t>
      </w:r>
      <w:r>
        <w:rPr>
          <w:rFonts w:ascii="Times New Roman" w:hAnsi="Times New Roman" w:eastAsia="Times New Roman"/>
          <w:sz w:val="21"/>
        </w:rPr>
        <w:t xml:space="preserve"> relation with required strength may activate a diagnostic. Supportive or helpful relations remain visible without becoming gates. Teachers can inspect and revise the resulting graph and plan.</w:t>
      </w:r>
    </w:p>
    <w:p>
      <w:pPr>
        <w:pStyle w:val="Heading2"/>
      </w:pPr>
      <w:r>
        <w:rPr>
          <w:rFonts w:ascii="Times New Roman" w:hAnsi="Times New Roman" w:eastAsia="Times New Roman"/>
          <w:sz w:val="25"/>
        </w:rPr>
        <w:t>5.2 Role-aware curriculum knowledge graph</w:t>
      </w:r>
    </w:p>
    <w:p>
      <w:pPr>
        <w:spacing w:after="100" w:line="293" w:lineRule="auto"/>
        <w:jc w:val="both"/>
      </w:pPr>
      <w:r>
        <w:rPr>
          <w:rFonts w:ascii="Times New Roman" w:hAnsi="Times New Roman" w:eastAsia="Times New Roman"/>
          <w:sz w:val="21"/>
        </w:rPr>
        <w:t xml:space="preserve">Each curriculum node has an instructional role: </w:t>
      </w:r>
      <w:r>
        <w:rPr>
          <w:rFonts w:ascii="Consolas" w:hAnsi="Consolas" w:eastAsia="Consolas"/>
          <w:color w:val="20354A"/>
          <w:sz w:val="20"/>
        </w:rPr>
        <w:t>prerequisite</w:t>
      </w:r>
      <w:r>
        <w:rPr>
          <w:rFonts w:ascii="Times New Roman" w:hAnsi="Times New Roman" w:eastAsia="Times New Roman"/>
          <w:sz w:val="21"/>
        </w:rPr>
        <w:t xml:space="preserve"> or </w:t>
      </w:r>
      <w:r>
        <w:rPr>
          <w:rFonts w:ascii="Consolas" w:hAnsi="Consolas" w:eastAsia="Consolas"/>
          <w:color w:val="20354A"/>
          <w:sz w:val="20"/>
        </w:rPr>
        <w:t>lesson</w:t>
      </w:r>
      <w:r>
        <w:rPr>
          <w:rFonts w:ascii="Times New Roman" w:hAnsi="Times New Roman" w:eastAsia="Times New Roman"/>
          <w:sz w:val="21"/>
        </w:rPr>
        <w:t>. Lesson nodes describe intended new learning and mastery boundaries. Prerequisite nodes describe expected prior knowledge, observable evidence, and a diagnostic boundary. Edges include a type, strength, and rationale. This design guards against a common personalization error: using a broad semantic association as if it were a necessary dependency.</w:t>
      </w:r>
    </w:p>
    <w:p>
      <w:pPr>
        <w:spacing w:after="100" w:line="293" w:lineRule="auto"/>
        <w:jc w:val="both"/>
      </w:pPr>
      <w:r>
        <w:rPr>
          <w:rFonts w:ascii="Times New Roman" w:hAnsi="Times New Roman" w:eastAsia="Times New Roman"/>
          <w:sz w:val="21"/>
        </w:rPr>
        <w:t>The graph also supports reverse dependency analysis. Teachers can inspect which later stage or knowledge rung depends on a prerequisite and why. The graph is therefore both a machine-readable control structure and a teacher-facing curriculum argument.</w:t>
      </w:r>
    </w:p>
    <w:p>
      <w:pPr>
        <w:spacing w:after="100" w:line="293" w:lineRule="auto"/>
        <w:jc w:val="both"/>
      </w:pPr>
      <w:r>
        <w:rPr>
          <w:rFonts w:ascii="Times New Roman" w:hAnsi="Times New Roman" w:eastAsia="Times New Roman"/>
          <w:sz w:val="21"/>
        </w:rPr>
        <w:t>The current implementation requires at least one prerequisite. This conservative rule prevents an empty diagnostic plan, but it is not universally valid: some genuinely foundational lessons may have no meaningful content prerequisite beyond general participation skills. We treat this as an identified limitation rather than a settled educational principle. A future revision should permit an audited zero-prerequisite decision and test whether reviewers can distinguish legitimate absence from generation failure.</w:t>
      </w:r>
    </w:p>
    <w:p>
      <w:pPr>
        <w:pStyle w:val="Heading2"/>
      </w:pPr>
      <w:r>
        <w:rPr>
          <w:rFonts w:ascii="Times New Roman" w:hAnsi="Times New Roman" w:eastAsia="Times New Roman"/>
          <w:sz w:val="25"/>
        </w:rPr>
        <w:t>5.3 Foundation-first deep-interactive instruction</w:t>
      </w:r>
    </w:p>
    <w:p>
      <w:pPr>
        <w:spacing w:after="100" w:line="293" w:lineRule="auto"/>
        <w:jc w:val="both"/>
      </w:pPr>
      <w:r>
        <w:rPr>
          <w:rFonts w:ascii="Times New Roman" w:hAnsi="Times New Roman" w:eastAsia="Times New Roman"/>
          <w:sz w:val="21"/>
        </w:rPr>
        <w:t>The main lesson follows a stable instructional grammar:</w:t>
      </w:r>
    </w:p>
    <w:p>
      <w:pPr>
        <w:pStyle w:val="ListNumber"/>
        <w:spacing w:after="60"/>
        <w:ind w:left="403" w:hanging="259"/>
      </w:pPr>
      <w:r>
        <w:rPr>
          <w:rFonts w:ascii="Times New Roman" w:hAnsi="Times New Roman" w:eastAsia="Times New Roman"/>
          <w:sz w:val="21"/>
        </w:rPr>
        <w:t>explain the foundational concept;</w:t>
      </w:r>
    </w:p>
    <w:p>
      <w:pPr>
        <w:pStyle w:val="ListNumber"/>
        <w:spacing w:after="60"/>
        <w:ind w:left="403" w:hanging="259"/>
      </w:pPr>
      <w:r>
        <w:rPr>
          <w:rFonts w:ascii="Times New Roman" w:hAnsi="Times New Roman" w:eastAsia="Times New Roman"/>
          <w:sz w:val="21"/>
        </w:rPr>
        <w:t>show a concrete example or visible reasoning process;</w:t>
      </w:r>
    </w:p>
    <w:p>
      <w:pPr>
        <w:pStyle w:val="ListNumber"/>
        <w:spacing w:after="60"/>
        <w:ind w:left="403" w:hanging="259"/>
      </w:pPr>
      <w:r>
        <w:rPr>
          <w:rFonts w:ascii="Times New Roman" w:hAnsi="Times New Roman" w:eastAsia="Times New Roman"/>
          <w:sz w:val="21"/>
        </w:rPr>
        <w:t>provide ungraded guided practice with feedback; and</w:t>
      </w:r>
    </w:p>
    <w:p>
      <w:pPr>
        <w:pStyle w:val="ListNumber"/>
        <w:spacing w:after="60"/>
        <w:ind w:left="403" w:hanging="259"/>
      </w:pPr>
      <w:r>
        <w:rPr>
          <w:rFonts w:ascii="Times New Roman" w:hAnsi="Times New Roman" w:eastAsia="Times New Roman"/>
          <w:sz w:val="21"/>
        </w:rPr>
        <w:t>administer one graded terminal mastery assessment after teaching.</w:t>
      </w:r>
    </w:p>
    <w:p>
      <w:pPr>
        <w:spacing w:after="100" w:line="293" w:lineRule="auto"/>
        <w:jc w:val="both"/>
      </w:pPr>
      <w:r>
        <w:rPr>
          <w:rFonts w:ascii="Times New Roman" w:hAnsi="Times New Roman" w:eastAsia="Times New Roman"/>
          <w:sz w:val="21"/>
        </w:rPr>
        <w:t>Interactive tools are selected for epistemic function rather than novelty. A whiteboard may expose a worked reasoning path, compare misconceptions, or transform representations. Code, simulation, 3D, game, or diagram widgets are inserted when they support the concept and are paired with guided practice. Earlier quiz-like events are compiled into practice or merged into the terminal assessment. The terminal assessment is bounded to four to eight knowledge-point-tagged questions and a limited share of instructional time.</w:t>
      </w:r>
    </w:p>
    <w:p>
      <w:pPr>
        <w:spacing w:after="100" w:line="293" w:lineRule="auto"/>
        <w:jc w:val="both"/>
      </w:pPr>
      <w:r>
        <w:rPr>
          <w:rFonts w:ascii="Times New Roman" w:hAnsi="Times New Roman" w:eastAsia="Times New Roman"/>
          <w:sz w:val="21"/>
        </w:rPr>
        <w:t>The key boundary is that adaptation does not fragment the core lesson. Students who receive prerequisite remediation still complete the full main course. Enrichment occurs only after the sole mastery assessment and only if time remains; it is ungraded and followed by no additional assessment. This prevents personalization from becoming curricular exclusion.</w:t>
      </w:r>
    </w:p>
    <w:p>
      <w:pPr>
        <w:pStyle w:val="Heading2"/>
      </w:pPr>
      <w:r>
        <w:rPr>
          <w:rFonts w:ascii="Times New Roman" w:hAnsi="Times New Roman" w:eastAsia="Times New Roman"/>
          <w:sz w:val="25"/>
        </w:rPr>
        <w:t>5.4 Strict prerequisite diagnosis and remediation</w:t>
      </w:r>
    </w:p>
    <w:p>
      <w:pPr>
        <w:spacing w:after="100" w:line="293" w:lineRule="auto"/>
        <w:jc w:val="both"/>
      </w:pPr>
      <w:r>
        <w:rPr>
          <w:rFonts w:ascii="Times New Roman" w:hAnsi="Times New Roman" w:eastAsia="Times New Roman"/>
          <w:sz w:val="21"/>
        </w:rPr>
        <w:t>For each approved prerequisite, the system provides exactly one diagnostic question and one linked remediation resource. Diagnostic evidence is interpreted per knowledge point. A gap routes the student to the corresponding remediation and then back to the main lesson. The system does not infer a global ability label or a reduced curriculum. The one-to-one mapping also makes adaptation auditable: a teacher can ask what evidence triggered which support.</w:t>
      </w:r>
    </w:p>
    <w:p>
      <w:pPr>
        <w:spacing w:after="100" w:line="293" w:lineRule="auto"/>
        <w:jc w:val="both"/>
      </w:pPr>
      <w:r>
        <w:rPr>
          <w:rFonts w:ascii="Times New Roman" w:hAnsi="Times New Roman" w:eastAsia="Times New Roman"/>
          <w:sz w:val="21"/>
        </w:rPr>
        <w:t>This strictness trades breadth for interpretability. One item cannot provide a reliable psychometric estimate of a complex construct. In the current design, the pretest is a low-stakes routing signal, not a mastery judgment. Classroom research should examine false positives and false negatives, and future versions may use brief adaptive probes where stakes or construct breadth require stronger evidence.</w:t>
      </w:r>
    </w:p>
    <w:p>
      <w:pPr>
        <w:pStyle w:val="Heading2"/>
      </w:pPr>
      <w:r>
        <w:rPr>
          <w:rFonts w:ascii="Times New Roman" w:hAnsi="Times New Roman" w:eastAsia="Times New Roman"/>
          <w:sz w:val="25"/>
        </w:rPr>
        <w:t>5.5 Reversible delegation in the collaborative workspace</w:t>
      </w:r>
    </w:p>
    <w:p>
      <w:pPr>
        <w:spacing w:after="100" w:line="293" w:lineRule="auto"/>
        <w:jc w:val="both"/>
      </w:pPr>
      <w:r>
        <w:rPr>
          <w:rFonts w:ascii="Times New Roman" w:hAnsi="Times New Roman" w:eastAsia="Times New Roman"/>
          <w:sz w:val="21"/>
        </w:rPr>
        <w:t>The most substantial redesign concerns productive authority. Students can ask an AI companion to update approved fields in proposal and making workspaces. The operation is allowed only when an explicit task or request exists and only for a whitelist of targets. The AI returns a structured patch specifying target, mode (</w:t>
      </w:r>
      <w:r>
        <w:rPr>
          <w:rFonts w:ascii="Consolas" w:hAnsi="Consolas" w:eastAsia="Consolas"/>
          <w:color w:val="20354A"/>
          <w:sz w:val="20"/>
        </w:rPr>
        <w:t>append</w:t>
      </w:r>
      <w:r>
        <w:rPr>
          <w:rFonts w:ascii="Times New Roman" w:hAnsi="Times New Roman" w:eastAsia="Times New Roman"/>
          <w:sz w:val="21"/>
        </w:rPr>
        <w:t xml:space="preserve"> or </w:t>
      </w:r>
      <w:r>
        <w:rPr>
          <w:rFonts w:ascii="Consolas" w:hAnsi="Consolas" w:eastAsia="Consolas"/>
          <w:color w:val="20354A"/>
          <w:sz w:val="20"/>
        </w:rPr>
        <w:t>replace</w:t>
      </w:r>
      <w:r>
        <w:rPr>
          <w:rFonts w:ascii="Times New Roman" w:hAnsi="Times New Roman" w:eastAsia="Times New Roman"/>
          <w:sz w:val="21"/>
        </w:rPr>
        <w:t>), and content. Each applied operation records the target, before value, after value, companion role, task, and time.</w:t>
      </w:r>
    </w:p>
    <w:p>
      <w:pPr>
        <w:spacing w:after="100" w:line="293" w:lineRule="auto"/>
        <w:jc w:val="both"/>
      </w:pPr>
      <w:r>
        <w:rPr>
          <w:rFonts w:ascii="Times New Roman" w:hAnsi="Times New Roman" w:eastAsia="Times New Roman"/>
          <w:sz w:val="21"/>
        </w:rPr>
        <w:t>Undo is conditional. If the field still contains the AI-produced value, the student can revert it. If the field has since changed, the system blocks automatic undo to avoid erasing later student or peer work. This conflict rule turns reversibility from a cosmetic history button into protection against silent overwrite. AI cannot submit an artifact, confirm a teacher decision, or complete a stage.</w:t>
      </w:r>
    </w:p>
    <w:p>
      <w:pPr>
        <w:spacing w:after="100" w:line="293" w:lineRule="auto"/>
        <w:jc w:val="both"/>
      </w:pPr>
      <w:r>
        <w:rPr>
          <w:rFonts w:ascii="Times New Roman" w:hAnsi="Times New Roman" w:eastAsia="Times New Roman"/>
          <w:sz w:val="21"/>
        </w:rPr>
        <w:t>The educational purpose is not to maximize automated production. It is to let students practice delegation itself: specifying a task, evaluating a contribution, deciding whether it fits their intent, revising or rejecting it, and remaining accountable for the submitted work. Provenance makes these decisions available for reflection and process assessment.</w:t>
      </w:r>
    </w:p>
    <w:p>
      <w:pPr>
        <w:pStyle w:val="Heading2"/>
      </w:pPr>
      <w:r>
        <w:rPr>
          <w:rFonts w:ascii="Times New Roman" w:hAnsi="Times New Roman" w:eastAsia="Times New Roman"/>
          <w:sz w:val="25"/>
        </w:rPr>
        <w:t>5.6 Evidence-gated project progression</w:t>
      </w:r>
    </w:p>
    <w:p>
      <w:pPr>
        <w:spacing w:after="100" w:line="293" w:lineRule="auto"/>
        <w:jc w:val="both"/>
      </w:pPr>
      <w:r>
        <w:rPr>
          <w:rFonts w:ascii="Times New Roman" w:hAnsi="Times New Roman" w:eastAsia="Times New Roman"/>
          <w:sz w:val="21"/>
        </w:rPr>
        <w:t>Project stages require typed evidence rather than generic activity counts. Evidence can represent intent, plans, source checks, artifact versions, test results, revision decisions, presentation materials, reflection, and teacher confirmation. For the making stage, an uploaded artifact is insufficient. Readiness requires linked test and revision evidence for the configured number of iterations. A revision record identifies the interpretation, reason, planned change, and next goal associated with an iteration.</w:t>
      </w:r>
    </w:p>
    <w:p>
      <w:pPr>
        <w:spacing w:after="100" w:line="293" w:lineRule="auto"/>
        <w:jc w:val="both"/>
      </w:pPr>
      <w:r>
        <w:rPr>
          <w:rFonts w:ascii="Times New Roman" w:hAnsi="Times New Roman" w:eastAsia="Times New Roman"/>
          <w:sz w:val="21"/>
        </w:rPr>
        <w:t>The support engine uses structural completeness and submitted or teacher-confirmed evidence before producing process evaluation. Missing or contradictory evidence yields an insufficient-evidence state rather than a confident score. Signals prioritize teacher attention, while consequential decisions remain with teachers. This design aligns the system's data model with PjBL's process orientation: what matters is not only that a product exists, but that students investigated, tested, interpreted, and revised.</w:t>
      </w:r>
    </w:p>
    <w:p>
      <w:pPr>
        <w:keepLines/>
        <w:spacing w:before="120" w:after="60"/>
        <w:jc w:val="center"/>
      </w:pPr>
      <w:r>
        <w:drawing>
          <wp:inline xmlns:a="http://schemas.openxmlformats.org/drawingml/2006/main" xmlns:pic="http://schemas.openxmlformats.org/drawingml/2006/picture">
            <wp:extent cx="5989320" cy="3309887"/>
            <wp:docPr id="2" name="Picture 2"/>
            <wp:cNvGraphicFramePr>
              <a:graphicFrameLocks noChangeAspect="1"/>
            </wp:cNvGraphicFramePr>
            <a:graphic>
              <a:graphicData uri="http://schemas.openxmlformats.org/drawingml/2006/picture">
                <pic:pic>
                  <pic:nvPicPr>
                    <pic:cNvPr id="0" name="learning_sequence_en.png"/>
                    <pic:cNvPicPr/>
                  </pic:nvPicPr>
                  <pic:blipFill>
                    <a:blip r:embed="rId12"/>
                    <a:stretch>
                      <a:fillRect/>
                    </a:stretch>
                  </pic:blipFill>
                  <pic:spPr>
                    <a:xfrm>
                      <a:off x="0" y="0"/>
                      <a:ext cx="5989320" cy="3309887"/>
                    </a:xfrm>
                    <a:prstGeom prst="rect"/>
                  </pic:spPr>
                </pic:pic>
              </a:graphicData>
            </a:graphic>
          </wp:inline>
        </w:drawing>
      </w:r>
    </w:p>
    <w:p>
      <w:pPr>
        <w:keepNext w:val="0"/>
        <w:spacing w:after="140"/>
        <w:jc w:val="center"/>
      </w:pPr>
      <w:r>
        <w:rPr>
          <w:rFonts w:ascii="Times New Roman" w:hAnsi="Times New Roman" w:eastAsia="Times New Roman"/>
          <w:i/>
          <w:color w:val="677788"/>
          <w:sz w:val="17"/>
        </w:rPr>
        <w:t>Figure 2. Sequence from curricular boundaries and adaptive teaching to evidence-gated project collaboration.</w:t>
      </w:r>
    </w:p>
    <w:p>
      <w:pPr>
        <w:pStyle w:val="Heading1"/>
      </w:pPr>
      <w:r>
        <w:rPr>
          <w:rFonts w:ascii="Times New Roman" w:hAnsi="Times New Roman" w:eastAsia="Times New Roman"/>
          <w:sz w:val="31"/>
        </w:rPr>
        <w:t>6. Formative Fidelity Results</w:t>
      </w:r>
    </w:p>
    <w:p>
      <w:pPr>
        <w:pStyle w:val="Heading2"/>
      </w:pPr>
      <w:r>
        <w:rPr>
          <w:rFonts w:ascii="Times New Roman" w:hAnsi="Times New Roman" w:eastAsia="Times New Roman"/>
          <w:sz w:val="25"/>
        </w:rPr>
        <w:t>6.1 Traceability from principles to executable mechanisms</w:t>
      </w:r>
    </w:p>
    <w:p>
      <w:pPr>
        <w:spacing w:after="100" w:line="293" w:lineRule="auto"/>
        <w:jc w:val="both"/>
      </w:pPr>
      <w:r>
        <w:rPr>
          <w:rFonts w:ascii="Times New Roman" w:hAnsi="Times New Roman" w:eastAsia="Times New Roman"/>
          <w:sz w:val="21"/>
        </w:rPr>
        <w:t>Table 2 summarizes the audit. Every design principle had representation at the levels of data, runtime policy, user action, and test, although strength and empirical validity vary.</w:t>
      </w:r>
    </w:p>
    <w:p>
      <w:pPr>
        <w:pStyle w:val="Heading2"/>
      </w:pPr>
      <w:r>
        <w:rPr>
          <w:rFonts w:ascii="Times New Roman" w:hAnsi="Times New Roman" w:eastAsia="Times New Roman"/>
          <w:sz w:val="25"/>
        </w:rPr>
        <w:t>Table 2. Theory-to-mechanism traceability</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rPr>
          <w:cantSplit/>
          <w:tblHeader w:val="true"/>
        </w:trPr>
        <w:tc>
          <w:tcPr>
            <w:tcW w:type="dxa" w:w="2412"/>
            <w:vAlign w:val="center"/>
            <w:tcMar>
              <w:top w:w="90" w:type="dxa"/>
              <w:start w:w="105" w:type="dxa"/>
              <w:bottom w:w="90" w:type="dxa"/>
              <w:end w:w="105" w:type="dxa"/>
            </w:tcMar>
            <w:shd w:fill="20354A"/>
          </w:tcPr>
          <w:p>
            <w:pPr>
              <w:spacing w:after="0" w:line="252" w:lineRule="auto"/>
              <w:jc w:val="left"/>
            </w:pPr>
            <w:r>
              <w:rPr>
                <w:rFonts w:ascii="Times New Roman" w:hAnsi="Times New Roman" w:eastAsia="Times New Roman"/>
                <w:b/>
                <w:color w:val="FFFFFF"/>
                <w:sz w:val="19"/>
              </w:rPr>
              <w:t>Principle</w:t>
            </w:r>
          </w:p>
        </w:tc>
        <w:tc>
          <w:tcPr>
            <w:tcW w:type="dxa" w:w="2412"/>
            <w:vAlign w:val="center"/>
            <w:tcMar>
              <w:top w:w="90" w:type="dxa"/>
              <w:start w:w="105" w:type="dxa"/>
              <w:bottom w:w="90" w:type="dxa"/>
              <w:end w:w="105" w:type="dxa"/>
            </w:tcMar>
            <w:shd w:fill="20354A"/>
          </w:tcPr>
          <w:p>
            <w:pPr>
              <w:spacing w:after="0" w:line="252" w:lineRule="auto"/>
              <w:jc w:val="left"/>
            </w:pPr>
            <w:r>
              <w:rPr>
                <w:rFonts w:ascii="Times New Roman" w:hAnsi="Times New Roman" w:eastAsia="Times New Roman"/>
                <w:b/>
                <w:color w:val="FFFFFF"/>
                <w:sz w:val="19"/>
              </w:rPr>
              <w:t>Executable mechanism</w:t>
            </w:r>
          </w:p>
        </w:tc>
        <w:tc>
          <w:tcPr>
            <w:tcW w:type="dxa" w:w="2412"/>
            <w:vAlign w:val="center"/>
            <w:tcMar>
              <w:top w:w="90" w:type="dxa"/>
              <w:start w:w="105" w:type="dxa"/>
              <w:bottom w:w="90" w:type="dxa"/>
              <w:end w:w="105" w:type="dxa"/>
            </w:tcMar>
            <w:shd w:fill="20354A"/>
          </w:tcPr>
          <w:p>
            <w:pPr>
              <w:spacing w:after="0" w:line="252" w:lineRule="auto"/>
              <w:jc w:val="left"/>
            </w:pPr>
            <w:r>
              <w:rPr>
                <w:rFonts w:ascii="Times New Roman" w:hAnsi="Times New Roman" w:eastAsia="Times New Roman"/>
                <w:b/>
                <w:color w:val="FFFFFF"/>
                <w:sz w:val="19"/>
              </w:rPr>
              <w:t>Observable record</w:t>
            </w:r>
          </w:p>
        </w:tc>
        <w:tc>
          <w:tcPr>
            <w:tcW w:type="dxa" w:w="2412"/>
            <w:vAlign w:val="center"/>
            <w:tcMar>
              <w:top w:w="90" w:type="dxa"/>
              <w:start w:w="105" w:type="dxa"/>
              <w:bottom w:w="90" w:type="dxa"/>
              <w:end w:w="105" w:type="dxa"/>
            </w:tcMar>
            <w:shd w:fill="20354A"/>
          </w:tcPr>
          <w:p>
            <w:pPr>
              <w:spacing w:after="0" w:line="252" w:lineRule="auto"/>
              <w:jc w:val="left"/>
            </w:pPr>
            <w:r>
              <w:rPr>
                <w:rFonts w:ascii="Times New Roman" w:hAnsi="Times New Roman" w:eastAsia="Times New Roman"/>
                <w:b/>
                <w:color w:val="FFFFFF"/>
                <w:sz w:val="19"/>
              </w:rPr>
              <w:t>Boundary test</w:t>
            </w:r>
          </w:p>
        </w:tc>
      </w:tr>
      <w:tr>
        <w:trPr>
          <w:cantSplit/>
        </w:trPr>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DP1 Curriculum before personalization</w:t>
            </w:r>
          </w:p>
        </w:tc>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Role-labelled nodes; typed and weighted dependency edges; independent semantic review</w:t>
            </w:r>
          </w:p>
        </w:tc>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Compiled graph, rationale, diagnostic boundary</w:t>
            </w:r>
          </w:p>
        </w:tc>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Lesson nodes and merely supportive edges cannot trigger prerequisite routing</w:t>
            </w:r>
          </w:p>
        </w:tc>
      </w:tr>
      <w:tr>
        <w:trPr>
          <w:cantSplit/>
        </w:trPr>
        <w:tc>
          <w:tcPr>
            <w:tcW w:type="dxa" w:w="2412"/>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DP2 Teach before judging</w:t>
            </w:r>
          </w:p>
        </w:tc>
        <w:tc>
          <w:tcPr>
            <w:tcW w:type="dxa" w:w="2412"/>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Foundation-example-practice policy; quiz consolidation; one terminal assessment</w:t>
            </w:r>
          </w:p>
        </w:tc>
        <w:tc>
          <w:tcPr>
            <w:tcW w:type="dxa" w:w="2412"/>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Ordered course actions and knowledge-point tags</w:t>
            </w:r>
          </w:p>
        </w:tc>
        <w:tc>
          <w:tcPr>
            <w:tcW w:type="dxa" w:w="2412"/>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Practice remains ungraded; enrichment appears only after terminal assessment</w:t>
            </w:r>
          </w:p>
        </w:tc>
      </w:tr>
      <w:tr>
        <w:trPr>
          <w:cantSplit/>
        </w:trPr>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DP3 Evidence-specific remediation</w:t>
            </w:r>
          </w:p>
        </w:tc>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One question and one resource per prerequisite; per-knowledge-point readiness</w:t>
            </w:r>
          </w:p>
        </w:tc>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Diagnostic response and remediation selection</w:t>
            </w:r>
          </w:p>
        </w:tc>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Remediation cannot replace or shorten the main lesson</w:t>
            </w:r>
          </w:p>
        </w:tc>
      </w:tr>
      <w:tr>
        <w:trPr>
          <w:cantSplit/>
        </w:trPr>
        <w:tc>
          <w:tcPr>
            <w:tcW w:type="dxa" w:w="2412"/>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DP4 Reversible delegation</w:t>
            </w:r>
          </w:p>
        </w:tc>
        <w:tc>
          <w:tcPr>
            <w:tcW w:type="dxa" w:w="2412"/>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Explicit request, whitelisted structured patches, provenance, conflict detection, undo</w:t>
            </w:r>
          </w:p>
        </w:tc>
        <w:tc>
          <w:tcPr>
            <w:tcW w:type="dxa" w:w="2412"/>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Before/after operation ledger</w:t>
            </w:r>
          </w:p>
        </w:tc>
        <w:tc>
          <w:tcPr>
            <w:tcW w:type="dxa" w:w="2412"/>
            <w:vAlign w:val="center"/>
            <w:tcMar>
              <w:top w:w="90" w:type="dxa"/>
              <w:start w:w="105" w:type="dxa"/>
              <w:bottom w:w="90" w:type="dxa"/>
              <w:end w:w="105" w:type="dxa"/>
            </w:tcMar>
            <w:shd w:fill="F2F5F7"/>
          </w:tcPr>
          <w:p>
            <w:pPr>
              <w:spacing w:after="0" w:line="252" w:lineRule="auto"/>
              <w:jc w:val="left"/>
            </w:pPr>
            <w:r>
              <w:rPr>
                <w:rFonts w:ascii="Times New Roman" w:hAnsi="Times New Roman" w:eastAsia="Times New Roman"/>
                <w:sz w:val="19"/>
              </w:rPr>
              <w:t>AI cannot submit, confirm, complete a stage, or overwrite a diverged field on undo</w:t>
            </w:r>
          </w:p>
        </w:tc>
      </w:tr>
      <w:tr>
        <w:trPr>
          <w:cantSplit/>
        </w:trPr>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DP5 Evidence and human adjudication</w:t>
            </w:r>
          </w:p>
        </w:tc>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Typed evidence, iteration readiness, insufficient-evidence state, teacher interventions</w:t>
            </w:r>
          </w:p>
        </w:tc>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Test-result/revision pairs, submissions, teacher status</w:t>
            </w:r>
          </w:p>
        </w:tc>
        <w:tc>
          <w:tcPr>
            <w:tcW w:type="dxa" w:w="2412"/>
            <w:vAlign w:val="center"/>
            <w:tcMar>
              <w:top w:w="90" w:type="dxa"/>
              <w:start w:w="105" w:type="dxa"/>
              <w:bottom w:w="90" w:type="dxa"/>
              <w:end w:w="105" w:type="dxa"/>
            </w:tcMar>
          </w:tcPr>
          <w:p>
            <w:pPr>
              <w:spacing w:after="0" w:line="252" w:lineRule="auto"/>
              <w:jc w:val="left"/>
            </w:pPr>
            <w:r>
              <w:rPr>
                <w:rFonts w:ascii="Times New Roman" w:hAnsi="Times New Roman" w:eastAsia="Times New Roman"/>
                <w:sz w:val="19"/>
              </w:rPr>
              <w:t>Artifact upload alone cannot satisfy making readiness; AI cannot finalize evaluation</w:t>
            </w:r>
          </w:p>
        </w:tc>
      </w:tr>
    </w:tbl>
    <w:p>
      <w:pPr>
        <w:spacing w:after="20"/>
      </w:pPr>
    </w:p>
    <w:p>
      <w:pPr>
        <w:spacing w:after="100" w:line="293" w:lineRule="auto"/>
        <w:jc w:val="both"/>
      </w:pPr>
      <w:r>
        <w:rPr>
          <w:rFonts w:ascii="Times New Roman" w:hAnsi="Times New Roman" w:eastAsia="Times New Roman"/>
          <w:sz w:val="21"/>
        </w:rPr>
        <w:t xml:space="preserve">The traceability audit also found an important conceptual change from the earlier OpenPBL design. The previous prohibition on direct AI editing was simpler to explain but treated all productive assistance as equivalent. The revised design distinguishes an AI action's </w:t>
      </w:r>
      <w:r>
        <w:rPr>
          <w:rFonts w:ascii="Times New Roman" w:hAnsi="Times New Roman" w:eastAsia="Times New Roman"/>
          <w:b/>
          <w:sz w:val="21"/>
        </w:rPr>
        <w:t>scope and consequence</w:t>
      </w:r>
      <w:r>
        <w:rPr>
          <w:rFonts w:ascii="Times New Roman" w:hAnsi="Times New Roman" w:eastAsia="Times New Roman"/>
          <w:sz w:val="21"/>
        </w:rPr>
        <w:t>. Bounded editing can be delegated; epistemic endorsement, final submission, and consequential evaluation cannot.</w:t>
      </w:r>
    </w:p>
    <w:p>
      <w:pPr>
        <w:pStyle w:val="Heading2"/>
      </w:pPr>
      <w:r>
        <w:rPr>
          <w:rFonts w:ascii="Times New Roman" w:hAnsi="Times New Roman" w:eastAsia="Times New Roman"/>
          <w:sz w:val="25"/>
        </w:rPr>
        <w:t>6.2 Targeted regression evidence</w:t>
      </w:r>
    </w:p>
    <w:p>
      <w:pPr>
        <w:spacing w:after="100" w:line="293" w:lineRule="auto"/>
        <w:jc w:val="both"/>
      </w:pPr>
      <w:r>
        <w:rPr>
          <w:rFonts w:ascii="Times New Roman" w:hAnsi="Times New Roman" w:eastAsia="Times New Roman"/>
          <w:sz w:val="21"/>
        </w:rPr>
        <w:t>Fourteen targeted test files covering course-entry generation, knowledge-role validation, adaptive routing, deep-interaction sequencing, terminal assessment, teaching-tool planning, workspace operations, companion guidance, learning-evidence readiness, and stage gates were executed against the development snapshot. Of 114 expectations, 113 passed.</w:t>
      </w:r>
    </w:p>
    <w:p>
      <w:pPr>
        <w:spacing w:after="100" w:line="293" w:lineRule="auto"/>
        <w:jc w:val="both"/>
      </w:pPr>
      <w:r>
        <w:rPr>
          <w:rFonts w:ascii="Times New Roman" w:hAnsi="Times New Roman" w:eastAsia="Times New Roman"/>
          <w:sz w:val="21"/>
        </w:rPr>
        <w:t>The single failing expectation is analytically useful. A legacy stage-gate test expected a submitted work file to satisfy making-stage readiness. The revised readiness model requires a completed test-interpret-revision cycle in addition to the artifact. The runtime gate blocked progression, consistent with DP5, while the older test expected acceptance. We therefore classify the failure as an unresolved specification-test mismatch. It must be corrected and the full suite rerun before an archival research release. The result also illustrates why executable design arguments are valuable: a pedagogical change can be traced to an explicit contract rather than hidden in interface behaviour.</w:t>
      </w:r>
    </w:p>
    <w:p>
      <w:pPr>
        <w:pStyle w:val="Heading2"/>
      </w:pPr>
      <w:r>
        <w:rPr>
          <w:rFonts w:ascii="Times New Roman" w:hAnsi="Times New Roman" w:eastAsia="Times New Roman"/>
          <w:sz w:val="25"/>
        </w:rPr>
        <w:t>6.3 What the fidelity results do and do not show</w:t>
      </w:r>
    </w:p>
    <w:p>
      <w:pPr>
        <w:spacing w:after="100" w:line="293" w:lineRule="auto"/>
        <w:jc w:val="both"/>
      </w:pPr>
      <w:r>
        <w:rPr>
          <w:rFonts w:ascii="Times New Roman" w:hAnsi="Times New Roman" w:eastAsia="Times New Roman"/>
          <w:sz w:val="21"/>
        </w:rPr>
        <w:t>The audit supports three bounded claims. First, the proposed authority topology is technically realizable within a full-stack PjBL environment. Second, the new design principles are represented by enforceable constraints rather than prompt-only intentions. Third, the artifact produces records that could support later process research.</w:t>
      </w:r>
    </w:p>
    <w:p>
      <w:pPr>
        <w:spacing w:after="100" w:line="293" w:lineRule="auto"/>
        <w:jc w:val="both"/>
      </w:pPr>
      <w:r>
        <w:rPr>
          <w:rFonts w:ascii="Times New Roman" w:hAnsi="Times New Roman" w:eastAsia="Times New Roman"/>
          <w:sz w:val="21"/>
        </w:rPr>
        <w:t xml:space="preserve">The audit does </w:t>
      </w:r>
      <w:r>
        <w:rPr>
          <w:rFonts w:ascii="Times New Roman" w:hAnsi="Times New Roman" w:eastAsia="Times New Roman"/>
          <w:b/>
          <w:sz w:val="21"/>
        </w:rPr>
        <w:t>not</w:t>
      </w:r>
      <w:r>
        <w:rPr>
          <w:rFonts w:ascii="Times New Roman" w:hAnsi="Times New Roman" w:eastAsia="Times New Roman"/>
          <w:sz w:val="21"/>
        </w:rPr>
        <w:t xml:space="preserve"> show that students learn more, remain more agentic, feel greater ownership, or become less dependent on AI. It does not show that teachers interpret the graph or dashboard correctly, that one-item prerequisite routing is valid, or that the added evidence burden is acceptable. Passing tests establish conformance to specified behaviour, not the educational value of that behaviour.</w:t>
      </w:r>
    </w:p>
    <w:p>
      <w:pPr>
        <w:pStyle w:val="Heading1"/>
      </w:pPr>
      <w:r>
        <w:rPr>
          <w:rFonts w:ascii="Times New Roman" w:hAnsi="Times New Roman" w:eastAsia="Times New Roman"/>
          <w:sz w:val="31"/>
        </w:rPr>
        <w:t>7. Discussion</w:t>
      </w:r>
    </w:p>
    <w:p>
      <w:pPr>
        <w:pStyle w:val="Heading2"/>
      </w:pPr>
      <w:r>
        <w:rPr>
          <w:rFonts w:ascii="Times New Roman" w:hAnsi="Times New Roman" w:eastAsia="Times New Roman"/>
          <w:sz w:val="25"/>
        </w:rPr>
        <w:t>7.1 From AI roles to an authority topology</w:t>
      </w:r>
    </w:p>
    <w:p>
      <w:pPr>
        <w:spacing w:after="100" w:line="293" w:lineRule="auto"/>
        <w:jc w:val="both"/>
      </w:pPr>
      <w:r>
        <w:rPr>
          <w:rFonts w:ascii="Times New Roman" w:hAnsi="Times New Roman" w:eastAsia="Times New Roman"/>
          <w:sz w:val="21"/>
        </w:rPr>
        <w:t>Many educational systems describe AI through social roles such as tutor, peer, critic, or assistant. Roles help users form expectations, but they are under-specified for governance. A “peer” may merely suggest an idea or may rewrite a student's artifact; a “tutor” may ask a question or decide mastery. The authority topology adds a more precise layer: for each consequential domain, it specifies who initiates, who may act, what evidence is required, who can reverse the action, and who decides.</w:t>
      </w:r>
    </w:p>
    <w:p>
      <w:pPr>
        <w:spacing w:after="100" w:line="293" w:lineRule="auto"/>
        <w:jc w:val="both"/>
      </w:pPr>
      <w:r>
        <w:rPr>
          <w:rFonts w:ascii="Times New Roman" w:hAnsi="Times New Roman" w:eastAsia="Times New Roman"/>
          <w:sz w:val="21"/>
        </w:rPr>
        <w:t>This is the paper's primary theoretical contribution. It connects student-AI collaboration to curriculum design, adaptive instruction, PjBL evidence, and teacher orchestration. It also offers a unit for comparative research. Systems that use the same model and interface may create different learning conditions because they allocate productive and evaluative authority differently.</w:t>
      </w:r>
    </w:p>
    <w:p>
      <w:pPr>
        <w:pStyle w:val="Heading2"/>
      </w:pPr>
      <w:r>
        <w:rPr>
          <w:rFonts w:ascii="Times New Roman" w:hAnsi="Times New Roman" w:eastAsia="Times New Roman"/>
          <w:sz w:val="25"/>
        </w:rPr>
        <w:t>7.2 Reversible delegation as a middle position</w:t>
      </w:r>
    </w:p>
    <w:p>
      <w:pPr>
        <w:spacing w:after="100" w:line="293" w:lineRule="auto"/>
        <w:jc w:val="both"/>
      </w:pPr>
      <w:r>
        <w:rPr>
          <w:rFonts w:ascii="Times New Roman" w:hAnsi="Times New Roman" w:eastAsia="Times New Roman"/>
          <w:sz w:val="21"/>
        </w:rPr>
        <w:t>Debates about generative AI in education often contrast unrestricted use with prohibition. OpenPBL implements a middle position. Students may delegate bounded productive work, but the delegation is explicit, visible, and reversible. This recognizes that learning to work with AI includes learning to specify, inspect, challenge, and integrate machine contributions. At the same time, it prevents a request for help from silently becoming authorship transfer.</w:t>
      </w:r>
    </w:p>
    <w:p>
      <w:pPr>
        <w:spacing w:after="100" w:line="293" w:lineRule="auto"/>
        <w:jc w:val="both"/>
      </w:pPr>
      <w:r>
        <w:rPr>
          <w:rFonts w:ascii="Times New Roman" w:hAnsi="Times New Roman" w:eastAsia="Times New Roman"/>
          <w:sz w:val="21"/>
        </w:rPr>
        <w:t>Reversibility alone is insufficient. Students may approve AI text without understanding it, and provenance can become an ignored log. The learning mechanism depends on associated practices: students should explain why a contribution was kept, identify what they verified, link changes to evidence, and demonstrate unaided or differently supported performance. The system's test-result and revision-decision records create opportunities for those practices, but their quality must be studied.</w:t>
      </w:r>
    </w:p>
    <w:p>
      <w:pPr>
        <w:pStyle w:val="Heading2"/>
      </w:pPr>
      <w:r>
        <w:rPr>
          <w:rFonts w:ascii="Times New Roman" w:hAnsi="Times New Roman" w:eastAsia="Times New Roman"/>
          <w:sz w:val="25"/>
        </w:rPr>
        <w:t>7.3 Curriculum anchoring limits adaptive overreach</w:t>
      </w:r>
    </w:p>
    <w:p>
      <w:pPr>
        <w:spacing w:after="100" w:line="293" w:lineRule="auto"/>
        <w:jc w:val="both"/>
      </w:pPr>
      <w:r>
        <w:rPr>
          <w:rFonts w:ascii="Times New Roman" w:hAnsi="Times New Roman" w:eastAsia="Times New Roman"/>
          <w:sz w:val="21"/>
        </w:rPr>
        <w:t>OpenPBL's role-aware graph addresses a subtle but consequential failure mode. Personalization is often framed as matching content to a learner, but without an explicit curricular boundary the system may decide that weak prelesson performance justifies removing or simplifying the very content the lesson is meant to teach. By separating prerequisite from lesson nodes and returning every learner to the full main lesson, the design constrains adaptation to access support rather than curricular tracking.</w:t>
      </w:r>
    </w:p>
    <w:p>
      <w:pPr>
        <w:spacing w:after="100" w:line="293" w:lineRule="auto"/>
        <w:jc w:val="both"/>
      </w:pPr>
      <w:r>
        <w:rPr>
          <w:rFonts w:ascii="Times New Roman" w:hAnsi="Times New Roman" w:eastAsia="Times New Roman"/>
          <w:sz w:val="21"/>
        </w:rPr>
        <w:t>The approach also reveals unresolved measurement questions. A single diagnostic item is interpretable and low burden, but noisy. Required typed edges improve validity only if the generated or teacher-edited dependency is correct. The graph should therefore be treated as a contestable curriculum model, not ground truth.</w:t>
      </w:r>
    </w:p>
    <w:p>
      <w:pPr>
        <w:pStyle w:val="Heading2"/>
      </w:pPr>
      <w:r>
        <w:rPr>
          <w:rFonts w:ascii="Times New Roman" w:hAnsi="Times New Roman" w:eastAsia="Times New Roman"/>
          <w:sz w:val="25"/>
        </w:rPr>
        <w:t>7.4 Evidence can support agency or become compliance</w:t>
      </w:r>
    </w:p>
    <w:p>
      <w:pPr>
        <w:spacing w:after="100" w:line="293" w:lineRule="auto"/>
        <w:jc w:val="both"/>
      </w:pPr>
      <w:r>
        <w:rPr>
          <w:rFonts w:ascii="Times New Roman" w:hAnsi="Times New Roman" w:eastAsia="Times New Roman"/>
          <w:sz w:val="21"/>
        </w:rPr>
        <w:t>Evidence-gated progression is intended to protect inquiry from product-only evaluation. Yet additional forms can become bureaucratic compliance, especially if students generate plausible test and reflection records after the fact. Evidence design must balance structure with authenticity. High-quality evidence should be close to the action it represents, connected across iterations, and useful to the learner or teacher rather than collected solely for analytics.</w:t>
      </w:r>
    </w:p>
    <w:p>
      <w:pPr>
        <w:spacing w:after="100" w:line="293" w:lineRule="auto"/>
        <w:jc w:val="both"/>
      </w:pPr>
      <w:r>
        <w:rPr>
          <w:rFonts w:ascii="Times New Roman" w:hAnsi="Times New Roman" w:eastAsia="Times New Roman"/>
          <w:sz w:val="21"/>
        </w:rPr>
        <w:t>This risk argues for mixed-method evaluation. Log completeness alone cannot establish regulation or agency. Researchers should combine interaction traces with artifact histories, think-aloud or stimulated-recall interviews, independent performance tasks, classroom observation, and teacher interpretation. Multimodal data may add temporal resolution, but inference claims must remain proportional to the evidence (de Mooij et al., 2025).</w:t>
      </w:r>
    </w:p>
    <w:p>
      <w:pPr>
        <w:pStyle w:val="Heading2"/>
      </w:pPr>
      <w:r>
        <w:rPr>
          <w:rFonts w:ascii="Times New Roman" w:hAnsi="Times New Roman" w:eastAsia="Times New Roman"/>
          <w:sz w:val="25"/>
        </w:rPr>
        <w:t>7.5 Implications for AIED design and scholarship</w:t>
      </w:r>
    </w:p>
    <w:p>
      <w:pPr>
        <w:spacing w:after="100" w:line="293" w:lineRule="auto"/>
        <w:jc w:val="both"/>
      </w:pPr>
      <w:r>
        <w:rPr>
          <w:rFonts w:ascii="Times New Roman" w:hAnsi="Times New Roman" w:eastAsia="Times New Roman"/>
          <w:sz w:val="21"/>
        </w:rPr>
        <w:t>For designers, the framework suggests that prompts should be the last rather than the only line of defence. Authority boundaries should also live in schemas, validators, operation whitelists, state transitions, audit records, and user-facing controls. For educators, generated curriculum graphs and adaptive paths should be inspectable arguments. For researchers, implementation fidelity should be reported separately from learning effects, and unaided transfer should be measured whenever AI performs substantial task work.</w:t>
      </w:r>
    </w:p>
    <w:p>
      <w:pPr>
        <w:spacing w:after="100" w:line="293" w:lineRule="auto"/>
        <w:jc w:val="both"/>
      </w:pPr>
      <w:r>
        <w:rPr>
          <w:rFonts w:ascii="Times New Roman" w:hAnsi="Times New Roman" w:eastAsia="Times New Roman"/>
          <w:sz w:val="21"/>
        </w:rPr>
        <w:t>The framework is relevant beyond PjBL. Writing tutors, inquiry environments, design studios, coding platforms, and collaborative problem-solving systems all distribute the same five forms of authority. The specific evidence types will differ, but the questions of curricular scope, instructional sequence, adaptation, productive delegation, and consequential evaluation remain.</w:t>
      </w:r>
    </w:p>
    <w:p>
      <w:pPr>
        <w:pStyle w:val="Heading1"/>
      </w:pPr>
      <w:r>
        <w:rPr>
          <w:rFonts w:ascii="Times New Roman" w:hAnsi="Times New Roman" w:eastAsia="Times New Roman"/>
          <w:sz w:val="31"/>
        </w:rPr>
        <w:t>8. Limitations and Threats to Validity</w:t>
      </w:r>
    </w:p>
    <w:p>
      <w:pPr>
        <w:spacing w:after="100" w:line="293" w:lineRule="auto"/>
        <w:jc w:val="both"/>
      </w:pPr>
      <w:r>
        <w:rPr>
          <w:rFonts w:ascii="Times New Roman" w:hAnsi="Times New Roman" w:eastAsia="Times New Roman"/>
          <w:sz w:val="21"/>
        </w:rPr>
        <w:t>The study has substantial limitations.</w:t>
      </w:r>
    </w:p>
    <w:p>
      <w:pPr>
        <w:spacing w:after="100" w:line="293" w:lineRule="auto"/>
        <w:jc w:val="both"/>
      </w:pPr>
      <w:r>
        <w:rPr>
          <w:rFonts w:ascii="Times New Roman" w:hAnsi="Times New Roman" w:eastAsia="Times New Roman"/>
          <w:sz w:val="21"/>
        </w:rPr>
        <w:t>First, it is a design and fidelity study with no human participants. Educational benefits and harms remain hypotheses. Second, the theory-to-mechanism mapping was produced within the development project and was not independently coded; confirmation bias is possible. Third, the targeted regression set is not the entire repository suite, and one expectation failed. The code, model versions, prompts, and tests must be frozen and independently reproducible before empirical deployment.</w:t>
      </w:r>
    </w:p>
    <w:p>
      <w:pPr>
        <w:spacing w:after="100" w:line="293" w:lineRule="auto"/>
        <w:jc w:val="both"/>
      </w:pPr>
      <w:r>
        <w:rPr>
          <w:rFonts w:ascii="Times New Roman" w:hAnsi="Times New Roman" w:eastAsia="Times New Roman"/>
          <w:sz w:val="21"/>
        </w:rPr>
        <w:t>Fourth, the enforced minimum of one prerequisite may manufacture a dependency for genuinely foundational lessons. Fifth, some default knowledge ladders are tailored to common AI topics and may over-prescribe other domains, cultures, or curricula. Sixth, one-question routing has limited reliability and can misclassify students. Seventh, model-generated graphs, explanations, feedback, and edits can be incorrect, biased, age-inappropriate, or homogenizing despite structural controls.</w:t>
      </w:r>
    </w:p>
    <w:p>
      <w:pPr>
        <w:spacing w:after="100" w:line="293" w:lineRule="auto"/>
        <w:jc w:val="both"/>
      </w:pPr>
      <w:r>
        <w:rPr>
          <w:rFonts w:ascii="Times New Roman" w:hAnsi="Times New Roman" w:eastAsia="Times New Roman"/>
          <w:sz w:val="21"/>
        </w:rPr>
        <w:t>Eighth, provenance and undo do not guarantee meaningful consent or understanding. Interface defaults, social pressure, or time constraints may still encourage uncritical acceptance. Ninth, typed evidence can privilege what the platform can capture and disadvantage valid offline, embodied, collaborative, or creative work. Tenth, teacher oversight can create workload rather than reduce it if signals are poorly calibrated. Finally, privacy, accessibility, language variation, and unequal access require local evaluation, particularly in K-12 settings.</w:t>
      </w:r>
    </w:p>
    <w:p>
      <w:pPr>
        <w:pStyle w:val="Heading1"/>
      </w:pPr>
      <w:r>
        <w:rPr>
          <w:rFonts w:ascii="Times New Roman" w:hAnsi="Times New Roman" w:eastAsia="Times New Roman"/>
          <w:sz w:val="31"/>
        </w:rPr>
        <w:t>9. Empirical Research Agenda</w:t>
      </w:r>
    </w:p>
    <w:p>
      <w:pPr>
        <w:spacing w:after="100" w:line="293" w:lineRule="auto"/>
        <w:jc w:val="both"/>
      </w:pPr>
      <w:r>
        <w:rPr>
          <w:rFonts w:ascii="Times New Roman" w:hAnsi="Times New Roman" w:eastAsia="Times New Roman"/>
          <w:sz w:val="21"/>
        </w:rPr>
        <w:t>The artifact is ready for co-design and feasibility research, not a definitive outcome claim. We propose three stages.</w:t>
      </w:r>
    </w:p>
    <w:p>
      <w:pPr>
        <w:pStyle w:val="Heading2"/>
      </w:pPr>
      <w:r>
        <w:rPr>
          <w:rFonts w:ascii="Times New Roman" w:hAnsi="Times New Roman" w:eastAsia="Times New Roman"/>
          <w:sz w:val="25"/>
        </w:rPr>
        <w:t>9.1 Stage 1: Teacher co-design and validity study</w:t>
      </w:r>
    </w:p>
    <w:p>
      <w:pPr>
        <w:spacing w:after="100" w:line="293" w:lineRule="auto"/>
        <w:jc w:val="both"/>
      </w:pPr>
      <w:r>
        <w:rPr>
          <w:rFonts w:ascii="Times New Roman" w:hAnsi="Times New Roman" w:eastAsia="Times New Roman"/>
          <w:sz w:val="21"/>
        </w:rPr>
        <w:t>Teachers from the intended grade levels and subject domains should inspect generated curriculum graphs, prerequisite classifications, diagnostic items, remediation resources, terminal assessments, evidence missions, and intervention signals. Measures should include content-validity ratings, disagreement rationales, correction time, perceived decision authority, and workload. Expert review should explicitly test zero-prerequisite cases and domains outside the current AI-oriented defaults.</w:t>
      </w:r>
    </w:p>
    <w:p>
      <w:pPr>
        <w:pStyle w:val="Heading2"/>
      </w:pPr>
      <w:r>
        <w:rPr>
          <w:rFonts w:ascii="Times New Roman" w:hAnsi="Times New Roman" w:eastAsia="Times New Roman"/>
          <w:sz w:val="25"/>
        </w:rPr>
        <w:t>9.2 Stage 2: Classroom feasibility and mechanism pilot</w:t>
      </w:r>
    </w:p>
    <w:p>
      <w:pPr>
        <w:spacing w:after="100" w:line="293" w:lineRule="auto"/>
        <w:jc w:val="both"/>
      </w:pPr>
      <w:r>
        <w:rPr>
          <w:rFonts w:ascii="Times New Roman" w:hAnsi="Times New Roman" w:eastAsia="Times New Roman"/>
          <w:sz w:val="21"/>
        </w:rPr>
        <w:t>A multi-class pilot should examine whether students understand AI roles, delegation, provenance, undo, evidence requirements, and teacher authority. Data should include system traces, screen and classroom observation, artifact histories, student interviews, teacher stimulated recall, support incidents, accessibility issues, and model errors. Primary feasibility criteria should be defined in advance: completion, integrity of evidence chains, frequency and success of undo, proportion of teacher signals judged useful, latency, and adverse events. No efficacy conclusion should be drawn from convenience comparisons.</w:t>
      </w:r>
    </w:p>
    <w:p>
      <w:pPr>
        <w:pStyle w:val="Heading2"/>
      </w:pPr>
      <w:r>
        <w:rPr>
          <w:rFonts w:ascii="Times New Roman" w:hAnsi="Times New Roman" w:eastAsia="Times New Roman"/>
          <w:sz w:val="25"/>
        </w:rPr>
        <w:t>9.3 Stage 3: Comparative effectiveness study</w:t>
      </w:r>
    </w:p>
    <w:p>
      <w:pPr>
        <w:spacing w:after="100" w:line="293" w:lineRule="auto"/>
        <w:jc w:val="both"/>
      </w:pPr>
      <w:r>
        <w:rPr>
          <w:rFonts w:ascii="Times New Roman" w:hAnsi="Times New Roman" w:eastAsia="Times New Roman"/>
          <w:sz w:val="21"/>
        </w:rPr>
        <w:t>A preregistered cluster-randomized or carefully matched study could compare:</w:t>
      </w:r>
    </w:p>
    <w:p>
      <w:pPr>
        <w:pStyle w:val="ListNumber"/>
        <w:spacing w:after="60"/>
        <w:ind w:left="403" w:hanging="259"/>
      </w:pPr>
      <w:r>
        <w:rPr>
          <w:rFonts w:ascii="Times New Roman" w:hAnsi="Times New Roman" w:eastAsia="Times New Roman"/>
          <w:sz w:val="21"/>
        </w:rPr>
        <w:t>PjBL with access to a generic generative-AI chat tool;</w:t>
      </w:r>
    </w:p>
    <w:p>
      <w:pPr>
        <w:pStyle w:val="ListNumber"/>
        <w:spacing w:after="60"/>
        <w:ind w:left="403" w:hanging="259"/>
      </w:pPr>
      <w:r>
        <w:rPr>
          <w:rFonts w:ascii="Times New Roman" w:hAnsi="Times New Roman" w:eastAsia="Times New Roman"/>
          <w:sz w:val="21"/>
        </w:rPr>
        <w:t>OpenPBL with curriculum anchoring, evidence gates, and tutoring but no direct artifact edits; and</w:t>
      </w:r>
    </w:p>
    <w:p>
      <w:pPr>
        <w:pStyle w:val="ListNumber"/>
        <w:spacing w:after="60"/>
        <w:ind w:left="403" w:hanging="259"/>
      </w:pPr>
      <w:r>
        <w:rPr>
          <w:rFonts w:ascii="Times New Roman" w:hAnsi="Times New Roman" w:eastAsia="Times New Roman"/>
          <w:sz w:val="21"/>
        </w:rPr>
        <w:t>full OpenPBL with reversible productive delegation.</w:t>
      </w:r>
    </w:p>
    <w:p>
      <w:pPr>
        <w:spacing w:after="100" w:line="293" w:lineRule="auto"/>
        <w:jc w:val="both"/>
      </w:pPr>
      <w:r>
        <w:rPr>
          <w:rFonts w:ascii="Times New Roman" w:hAnsi="Times New Roman" w:eastAsia="Times New Roman"/>
          <w:sz w:val="21"/>
        </w:rPr>
        <w:t>The primary outcome should be delayed, unaided transfer aligned to lesson targets. Secondary outcomes should include conceptual achievement, artifact quality, verification accuracy, revision quality, persistence after AI withdrawal, epistemic-agency and ownership measures, calibration of trust, collaboration quality, equity, and teacher orchestration workload. Process analyses should test whether explicit delegation and verification mediate outcomes, and whether prior knowledge moderates benefits or dependence. Condition 2 versus Condition 3 is especially important: it isolates whether reversible editing adds productive value without reducing independent learning or ownership.</w:t>
      </w:r>
    </w:p>
    <w:p>
      <w:pPr>
        <w:spacing w:after="100" w:line="293" w:lineRule="auto"/>
        <w:jc w:val="both"/>
      </w:pPr>
      <w:r>
        <w:rPr>
          <w:rFonts w:ascii="Times New Roman" w:hAnsi="Times New Roman" w:eastAsia="Times New Roman"/>
          <w:sz w:val="21"/>
        </w:rPr>
        <w:t>Adverse outcomes should be treated as first-class results. These include copied but unverified content, reduced unaided performance, false prerequisite routing, evidence fabrication, inaccessible interactions, biased suggestions, and teacher alert fatigue. This agenda directly tests the conjecture that bounded co-agency can preserve learning better than unrestricted assistance while offering more authentic collaboration than prohibition.</w:t>
      </w:r>
    </w:p>
    <w:p>
      <w:pPr>
        <w:pStyle w:val="Heading1"/>
      </w:pPr>
      <w:r>
        <w:rPr>
          <w:rFonts w:ascii="Times New Roman" w:hAnsi="Times New Roman" w:eastAsia="Times New Roman"/>
          <w:sz w:val="31"/>
        </w:rPr>
        <w:t>10. Conclusion</w:t>
      </w:r>
    </w:p>
    <w:p>
      <w:pPr>
        <w:spacing w:after="100" w:line="293" w:lineRule="auto"/>
        <w:jc w:val="both"/>
      </w:pPr>
      <w:r>
        <w:rPr>
          <w:rFonts w:ascii="Times New Roman" w:hAnsi="Times New Roman" w:eastAsia="Times New Roman"/>
          <w:sz w:val="21"/>
        </w:rPr>
        <w:t>OpenPBL addresses a central AIED problem: generative AI can be simultaneously a tutor, collaborator, producer, monitor, and evaluator, but educational responsibility cannot be allowed to diffuse across those roles. The redesigned system organizes human-AI collaboration through five explicit authority domains. It anchors personalization in curriculum, sequences support before mastery judgment, remediates specific prerequisite gaps, permits only explicit and reversible artifact delegation, and requires process evidence plus human adjudication for consequential progression.</w:t>
      </w:r>
    </w:p>
    <w:p>
      <w:pPr>
        <w:spacing w:after="100" w:line="293" w:lineRule="auto"/>
        <w:jc w:val="both"/>
      </w:pPr>
      <w:r>
        <w:rPr>
          <w:rFonts w:ascii="Times New Roman" w:hAnsi="Times New Roman" w:eastAsia="Times New Roman"/>
          <w:sz w:val="21"/>
        </w:rPr>
        <w:t>The formative audit shows that these ideas can be implemented as inspectable and testable constraints, while the unresolved regression mismatch demonstrates that the artifact is still a development snapshot. The more important test is now educational: whether students use reversible delegation to reason more effectively with and against AI, whether their independent performance and ownership are preserved, and whether teachers gain actionable visibility without losing authority or time. Until classroom evidence answers those questions, OpenPBL should be understood as a theoretically grounded and empirically testable design proposition—not a proven educational solution.</w:t>
      </w:r>
    </w:p>
    <w:p>
      <w:r>
        <w:br w:type="page"/>
      </w:r>
    </w:p>
    <w:p>
      <w:pPr>
        <w:pStyle w:val="Heading1"/>
      </w:pPr>
      <w:r>
        <w:rPr>
          <w:rFonts w:ascii="Times New Roman" w:hAnsi="Times New Roman" w:eastAsia="Times New Roman"/>
          <w:sz w:val="31"/>
        </w:rPr>
        <w:t>References</w:t>
      </w:r>
    </w:p>
    <w:p>
      <w:pPr>
        <w:keepLines/>
        <w:spacing w:after="100" w:line="293" w:lineRule="auto"/>
        <w:ind w:left="360" w:hanging="360"/>
        <w:jc w:val="both"/>
      </w:pPr>
      <w:r>
        <w:rPr>
          <w:rFonts w:ascii="Times New Roman" w:hAnsi="Times New Roman" w:eastAsia="Times New Roman"/>
          <w:sz w:val="18"/>
        </w:rPr>
        <w:t xml:space="preserve">Banihashem, S. K., Bond, M., Bergdahl, N., Khosravi, H., &amp; Noroozi, O. (2025). A systematic mapping review at the intersection of artificial intelligence and self-regulated learning. </w:t>
      </w:r>
      <w:r>
        <w:rPr>
          <w:rFonts w:ascii="Times New Roman" w:hAnsi="Times New Roman" w:eastAsia="Times New Roman"/>
          <w:i/>
          <w:sz w:val="18"/>
        </w:rPr>
        <w:t>International Journal of Educational Technology in Higher Education, 22</w:t>
      </w:r>
      <w:r>
        <w:rPr>
          <w:rFonts w:ascii="Times New Roman" w:hAnsi="Times New Roman" w:eastAsia="Times New Roman"/>
          <w:sz w:val="18"/>
        </w:rPr>
        <w:t xml:space="preserve">, 50. </w:t>
      </w:r>
      <w:hyperlink r:id="rId13">
        <w:r>
          <w:rPr>
            <w:rFonts w:ascii="Times New Roman" w:hAnsi="Times New Roman" w:eastAsia="Times New Roman"/>
            <w:color w:val="2E74B5"/>
            <w:u w:val="single"/>
            <w:sz w:val="18"/>
          </w:rPr>
          <w:t>https://doi.org/10.1186/s41239-025-00548-8</w:t>
        </w:r>
      </w:hyperlink>
    </w:p>
    <w:p>
      <w:pPr>
        <w:keepLines/>
        <w:spacing w:after="100" w:line="293" w:lineRule="auto"/>
        <w:ind w:left="360" w:hanging="360"/>
        <w:jc w:val="both"/>
      </w:pPr>
      <w:r>
        <w:rPr>
          <w:rFonts w:ascii="Times New Roman" w:hAnsi="Times New Roman" w:eastAsia="Times New Roman"/>
          <w:sz w:val="18"/>
        </w:rPr>
        <w:t xml:space="preserve">Bastani, H., Bastani, O., Sungu, A., Ge, H., Kabakcı, Ö., &amp; Mariman, R. (2025). Generative AI without guardrails can harm learning: Evidence from high school mathematics. </w:t>
      </w:r>
      <w:r>
        <w:rPr>
          <w:rFonts w:ascii="Times New Roman" w:hAnsi="Times New Roman" w:eastAsia="Times New Roman"/>
          <w:i/>
          <w:sz w:val="18"/>
        </w:rPr>
        <w:t>Proceedings of the National Academy of Sciences, 122</w:t>
      </w:r>
      <w:r>
        <w:rPr>
          <w:rFonts w:ascii="Times New Roman" w:hAnsi="Times New Roman" w:eastAsia="Times New Roman"/>
          <w:sz w:val="18"/>
        </w:rPr>
        <w:t xml:space="preserve">(26), e2422633122. </w:t>
      </w:r>
      <w:hyperlink r:id="rId14">
        <w:r>
          <w:rPr>
            <w:rFonts w:ascii="Times New Roman" w:hAnsi="Times New Roman" w:eastAsia="Times New Roman"/>
            <w:color w:val="2E74B5"/>
            <w:u w:val="single"/>
            <w:sz w:val="18"/>
          </w:rPr>
          <w:t>https://doi.org/10.1073/pnas.2422633122</w:t>
        </w:r>
      </w:hyperlink>
    </w:p>
    <w:p>
      <w:pPr>
        <w:keepLines/>
        <w:spacing w:after="100" w:line="293" w:lineRule="auto"/>
        <w:ind w:left="360" w:hanging="360"/>
        <w:jc w:val="both"/>
      </w:pPr>
      <w:r>
        <w:rPr>
          <w:rFonts w:ascii="Times New Roman" w:hAnsi="Times New Roman" w:eastAsia="Times New Roman"/>
          <w:sz w:val="18"/>
        </w:rPr>
        <w:t xml:space="preserve">Chaaban, Y., Jung, S.-G., Medina, J., Azem, J. Y., Salminen, J., &amp; Jansen, B. J. (2025). Examining student teachers' agency in an AI-supported learning environment: Q methodology research. </w:t>
      </w:r>
      <w:r>
        <w:rPr>
          <w:rFonts w:ascii="Times New Roman" w:hAnsi="Times New Roman" w:eastAsia="Times New Roman"/>
          <w:i/>
          <w:sz w:val="18"/>
        </w:rPr>
        <w:t>International Journal of Artificial Intelligence in Education, 35</w:t>
      </w:r>
      <w:r>
        <w:rPr>
          <w:rFonts w:ascii="Times New Roman" w:hAnsi="Times New Roman" w:eastAsia="Times New Roman"/>
          <w:sz w:val="18"/>
        </w:rPr>
        <w:t xml:space="preserve">, 4083–4107. </w:t>
      </w:r>
      <w:hyperlink r:id="rId15">
        <w:r>
          <w:rPr>
            <w:rFonts w:ascii="Times New Roman" w:hAnsi="Times New Roman" w:eastAsia="Times New Roman"/>
            <w:color w:val="2E74B5"/>
            <w:u w:val="single"/>
            <w:sz w:val="18"/>
          </w:rPr>
          <w:t>https://doi.org/10.1007/s40593-025-00529-y</w:t>
        </w:r>
      </w:hyperlink>
    </w:p>
    <w:p>
      <w:pPr>
        <w:keepLines/>
        <w:spacing w:after="100" w:line="293" w:lineRule="auto"/>
        <w:ind w:left="360" w:hanging="360"/>
        <w:jc w:val="both"/>
      </w:pPr>
      <w:r>
        <w:rPr>
          <w:rFonts w:ascii="Times New Roman" w:hAnsi="Times New Roman" w:eastAsia="Times New Roman"/>
          <w:sz w:val="18"/>
        </w:rPr>
        <w:t xml:space="preserve">Chanaa, A., &amp; El Faddouli, N. (2024). Prerequisites-based course recommendation: Recommending learning objects using concept prerequisites and metadata matching. </w:t>
      </w:r>
      <w:r>
        <w:rPr>
          <w:rFonts w:ascii="Times New Roman" w:hAnsi="Times New Roman" w:eastAsia="Times New Roman"/>
          <w:i/>
          <w:sz w:val="18"/>
        </w:rPr>
        <w:t>Smart Learning Environments, 11</w:t>
      </w:r>
      <w:r>
        <w:rPr>
          <w:rFonts w:ascii="Times New Roman" w:hAnsi="Times New Roman" w:eastAsia="Times New Roman"/>
          <w:sz w:val="18"/>
        </w:rPr>
        <w:t xml:space="preserve">, 16. </w:t>
      </w:r>
      <w:hyperlink r:id="rId16">
        <w:r>
          <w:rPr>
            <w:rFonts w:ascii="Times New Roman" w:hAnsi="Times New Roman" w:eastAsia="Times New Roman"/>
            <w:color w:val="2E74B5"/>
            <w:u w:val="single"/>
            <w:sz w:val="18"/>
          </w:rPr>
          <w:t>https://doi.org/10.1186/s40561-024-00301-0</w:t>
        </w:r>
      </w:hyperlink>
    </w:p>
    <w:p>
      <w:pPr>
        <w:keepLines/>
        <w:spacing w:after="100" w:line="293" w:lineRule="auto"/>
        <w:ind w:left="360" w:hanging="360"/>
        <w:jc w:val="both"/>
      </w:pPr>
      <w:r>
        <w:rPr>
          <w:rFonts w:ascii="Times New Roman" w:hAnsi="Times New Roman" w:eastAsia="Times New Roman"/>
          <w:sz w:val="18"/>
        </w:rPr>
        <w:t xml:space="preserve">Chen, C.-H., &amp; Yang, Y.-C. (2019). Revisiting the effects of project-based learning on students' academic achievement: A meta-analysis investigating moderators. </w:t>
      </w:r>
      <w:r>
        <w:rPr>
          <w:rFonts w:ascii="Times New Roman" w:hAnsi="Times New Roman" w:eastAsia="Times New Roman"/>
          <w:i/>
          <w:sz w:val="18"/>
        </w:rPr>
        <w:t>Educational Research Review, 26</w:t>
      </w:r>
      <w:r>
        <w:rPr>
          <w:rFonts w:ascii="Times New Roman" w:hAnsi="Times New Roman" w:eastAsia="Times New Roman"/>
          <w:sz w:val="18"/>
        </w:rPr>
        <w:t xml:space="preserve">, 71–81. </w:t>
      </w:r>
      <w:hyperlink r:id="rId17">
        <w:r>
          <w:rPr>
            <w:rFonts w:ascii="Times New Roman" w:hAnsi="Times New Roman" w:eastAsia="Times New Roman"/>
            <w:color w:val="2E74B5"/>
            <w:u w:val="single"/>
            <w:sz w:val="18"/>
          </w:rPr>
          <w:t>https://doi.org/10.1016/j.edurev.2018.11.001</w:t>
        </w:r>
      </w:hyperlink>
    </w:p>
    <w:p>
      <w:pPr>
        <w:keepLines/>
        <w:spacing w:after="100" w:line="293" w:lineRule="auto"/>
        <w:ind w:left="360" w:hanging="360"/>
        <w:jc w:val="both"/>
      </w:pPr>
      <w:r>
        <w:rPr>
          <w:rFonts w:ascii="Times New Roman" w:hAnsi="Times New Roman" w:eastAsia="Times New Roman"/>
          <w:sz w:val="18"/>
        </w:rPr>
        <w:t xml:space="preserve">Darvishi, A., Khosravi, H., Sadiq, S., Gašević, D., &amp; Siemens, G. (2024). Impact of AI assistance on student agency. </w:t>
      </w:r>
      <w:r>
        <w:rPr>
          <w:rFonts w:ascii="Times New Roman" w:hAnsi="Times New Roman" w:eastAsia="Times New Roman"/>
          <w:i/>
          <w:sz w:val="18"/>
        </w:rPr>
        <w:t>Computers &amp; Education, 210</w:t>
      </w:r>
      <w:r>
        <w:rPr>
          <w:rFonts w:ascii="Times New Roman" w:hAnsi="Times New Roman" w:eastAsia="Times New Roman"/>
          <w:sz w:val="18"/>
        </w:rPr>
        <w:t xml:space="preserve">, 104967. </w:t>
      </w:r>
      <w:hyperlink r:id="rId18">
        <w:r>
          <w:rPr>
            <w:rFonts w:ascii="Times New Roman" w:hAnsi="Times New Roman" w:eastAsia="Times New Roman"/>
            <w:color w:val="2E74B5"/>
            <w:u w:val="single"/>
            <w:sz w:val="18"/>
          </w:rPr>
          <w:t>https://doi.org/10.1016/j.compedu.2023.104967</w:t>
        </w:r>
      </w:hyperlink>
    </w:p>
    <w:p>
      <w:pPr>
        <w:keepLines/>
        <w:spacing w:after="100" w:line="293" w:lineRule="auto"/>
        <w:ind w:left="360" w:hanging="360"/>
        <w:jc w:val="both"/>
      </w:pPr>
      <w:r>
        <w:rPr>
          <w:rFonts w:ascii="Times New Roman" w:hAnsi="Times New Roman" w:eastAsia="Times New Roman"/>
          <w:sz w:val="18"/>
        </w:rPr>
        <w:t xml:space="preserve">de Mooij, S., Lämsä, J., Lim, L., Aksela, O., Athavale, S., Bistolfi, I., Jin, F., Li, T., Azevedo, R., Bannert, M., Gašević, D., Järvelä, S., &amp; Molenaar, I. (2025). A systematic review of self-regulated learning through integration of multimodal data and artificial intelligence. </w:t>
      </w:r>
      <w:r>
        <w:rPr>
          <w:rFonts w:ascii="Times New Roman" w:hAnsi="Times New Roman" w:eastAsia="Times New Roman"/>
          <w:i/>
          <w:sz w:val="18"/>
        </w:rPr>
        <w:t>Educational Psychology Review, 37</w:t>
      </w:r>
      <w:r>
        <w:rPr>
          <w:rFonts w:ascii="Times New Roman" w:hAnsi="Times New Roman" w:eastAsia="Times New Roman"/>
          <w:sz w:val="18"/>
        </w:rPr>
        <w:t xml:space="preserve">, 54. </w:t>
      </w:r>
      <w:hyperlink r:id="rId19">
        <w:r>
          <w:rPr>
            <w:rFonts w:ascii="Times New Roman" w:hAnsi="Times New Roman" w:eastAsia="Times New Roman"/>
            <w:color w:val="2E74B5"/>
            <w:u w:val="single"/>
            <w:sz w:val="18"/>
          </w:rPr>
          <w:t>https://doi.org/10.1007/s10648-025-10028-0</w:t>
        </w:r>
      </w:hyperlink>
    </w:p>
    <w:p>
      <w:pPr>
        <w:keepLines/>
        <w:spacing w:after="100" w:line="293" w:lineRule="auto"/>
        <w:ind w:left="360" w:hanging="360"/>
        <w:jc w:val="both"/>
      </w:pPr>
      <w:r>
        <w:rPr>
          <w:rFonts w:ascii="Times New Roman" w:hAnsi="Times New Roman" w:eastAsia="Times New Roman"/>
          <w:sz w:val="18"/>
        </w:rPr>
        <w:t xml:space="preserve">Dillenbourg, P. (2013). Design for classroom orchestration. </w:t>
      </w:r>
      <w:r>
        <w:rPr>
          <w:rFonts w:ascii="Times New Roman" w:hAnsi="Times New Roman" w:eastAsia="Times New Roman"/>
          <w:i/>
          <w:sz w:val="18"/>
        </w:rPr>
        <w:t>Computers &amp; Education, 69</w:t>
      </w:r>
      <w:r>
        <w:rPr>
          <w:rFonts w:ascii="Times New Roman" w:hAnsi="Times New Roman" w:eastAsia="Times New Roman"/>
          <w:sz w:val="18"/>
        </w:rPr>
        <w:t xml:space="preserve">, 485–492. </w:t>
      </w:r>
      <w:hyperlink r:id="rId20">
        <w:r>
          <w:rPr>
            <w:rFonts w:ascii="Times New Roman" w:hAnsi="Times New Roman" w:eastAsia="Times New Roman"/>
            <w:color w:val="2E74B5"/>
            <w:u w:val="single"/>
            <w:sz w:val="18"/>
          </w:rPr>
          <w:t>https://doi.org/10.1016/j.compedu.2013.04.013</w:t>
        </w:r>
      </w:hyperlink>
    </w:p>
    <w:p>
      <w:pPr>
        <w:keepLines/>
        <w:spacing w:after="100" w:line="293" w:lineRule="auto"/>
        <w:ind w:left="360" w:hanging="360"/>
        <w:jc w:val="both"/>
      </w:pPr>
      <w:r>
        <w:rPr>
          <w:rFonts w:ascii="Times New Roman" w:hAnsi="Times New Roman" w:eastAsia="Times New Roman"/>
          <w:sz w:val="18"/>
        </w:rPr>
        <w:t xml:space="preserve">Farshad, S., &amp; Fortin, C. (2026). An umbrella review of meta-analyses on project-based learning: Effects on academic achievement, higher-order thinking, and 21st-century skills. </w:t>
      </w:r>
      <w:r>
        <w:rPr>
          <w:rFonts w:ascii="Times New Roman" w:hAnsi="Times New Roman" w:eastAsia="Times New Roman"/>
          <w:i/>
          <w:sz w:val="18"/>
        </w:rPr>
        <w:t>Educational Research Review, 52</w:t>
      </w:r>
      <w:r>
        <w:rPr>
          <w:rFonts w:ascii="Times New Roman" w:hAnsi="Times New Roman" w:eastAsia="Times New Roman"/>
          <w:sz w:val="18"/>
        </w:rPr>
        <w:t xml:space="preserve">, 100809. </w:t>
      </w:r>
      <w:hyperlink r:id="rId21">
        <w:r>
          <w:rPr>
            <w:rFonts w:ascii="Times New Roman" w:hAnsi="Times New Roman" w:eastAsia="Times New Roman"/>
            <w:color w:val="2E74B5"/>
            <w:u w:val="single"/>
            <w:sz w:val="18"/>
          </w:rPr>
          <w:t>https://doi.org/10.1016/j.edurev.2026.100809</w:t>
        </w:r>
      </w:hyperlink>
    </w:p>
    <w:p>
      <w:pPr>
        <w:keepLines/>
        <w:spacing w:after="100" w:line="293" w:lineRule="auto"/>
        <w:ind w:left="360" w:hanging="360"/>
        <w:jc w:val="both"/>
      </w:pPr>
      <w:r>
        <w:rPr>
          <w:rFonts w:ascii="Times New Roman" w:hAnsi="Times New Roman" w:eastAsia="Times New Roman"/>
          <w:sz w:val="18"/>
        </w:rPr>
        <w:t xml:space="preserve">Hadwin, A. F., Järvelä, S., &amp; Miller, M. (2018). Self-regulation, co-regulation, and shared regulation in collaborative learning environments. In D. H. Schunk &amp; J. A. Greene (Eds.), </w:t>
      </w:r>
      <w:r>
        <w:rPr>
          <w:rFonts w:ascii="Times New Roman" w:hAnsi="Times New Roman" w:eastAsia="Times New Roman"/>
          <w:i/>
          <w:sz w:val="18"/>
        </w:rPr>
        <w:t>Handbook of self-regulation of learning and performance</w:t>
      </w:r>
      <w:r>
        <w:rPr>
          <w:rFonts w:ascii="Times New Roman" w:hAnsi="Times New Roman" w:eastAsia="Times New Roman"/>
          <w:sz w:val="18"/>
        </w:rPr>
        <w:t xml:space="preserve"> (2nd ed., pp. 83–106). Routledge. </w:t>
      </w:r>
      <w:hyperlink r:id="rId22">
        <w:r>
          <w:rPr>
            <w:rFonts w:ascii="Times New Roman" w:hAnsi="Times New Roman" w:eastAsia="Times New Roman"/>
            <w:color w:val="2E74B5"/>
            <w:u w:val="single"/>
            <w:sz w:val="18"/>
          </w:rPr>
          <w:t>https://doi.org/10.4324/9781315697048-6</w:t>
        </w:r>
      </w:hyperlink>
    </w:p>
    <w:p>
      <w:pPr>
        <w:keepLines/>
        <w:spacing w:after="100" w:line="293" w:lineRule="auto"/>
        <w:ind w:left="360" w:hanging="360"/>
        <w:jc w:val="both"/>
      </w:pPr>
      <w:r>
        <w:rPr>
          <w:rFonts w:ascii="Times New Roman" w:hAnsi="Times New Roman" w:eastAsia="Times New Roman"/>
          <w:sz w:val="18"/>
        </w:rPr>
        <w:t xml:space="preserve">Hmelo-Silver, C. E., Duncan, R. G., &amp; Chinn, C. A. (2007). Scaffolding and achievement in problem-based and inquiry learning: A response to Kirschner, Sweller, and Clark (2006). </w:t>
      </w:r>
      <w:r>
        <w:rPr>
          <w:rFonts w:ascii="Times New Roman" w:hAnsi="Times New Roman" w:eastAsia="Times New Roman"/>
          <w:i/>
          <w:sz w:val="18"/>
        </w:rPr>
        <w:t>Educational Psychologist, 42</w:t>
      </w:r>
      <w:r>
        <w:rPr>
          <w:rFonts w:ascii="Times New Roman" w:hAnsi="Times New Roman" w:eastAsia="Times New Roman"/>
          <w:sz w:val="18"/>
        </w:rPr>
        <w:t xml:space="preserve">(2), 99–107. </w:t>
      </w:r>
      <w:hyperlink r:id="rId23">
        <w:r>
          <w:rPr>
            <w:rFonts w:ascii="Times New Roman" w:hAnsi="Times New Roman" w:eastAsia="Times New Roman"/>
            <w:color w:val="2E74B5"/>
            <w:u w:val="single"/>
            <w:sz w:val="18"/>
          </w:rPr>
          <w:t>https://doi.org/10.1080/00461520701263368</w:t>
        </w:r>
      </w:hyperlink>
    </w:p>
    <w:p>
      <w:pPr>
        <w:keepLines/>
        <w:spacing w:after="100" w:line="293" w:lineRule="auto"/>
        <w:ind w:left="360" w:hanging="360"/>
        <w:jc w:val="both"/>
      </w:pPr>
      <w:r>
        <w:rPr>
          <w:rFonts w:ascii="Times New Roman" w:hAnsi="Times New Roman" w:eastAsia="Times New Roman"/>
          <w:sz w:val="18"/>
        </w:rPr>
        <w:t xml:space="preserve">Holstein, K., McLaren, B. M., &amp; Aleven, V. (2019). Co-designing a real-time classroom orchestration tool to support teacher-AI complementarity. </w:t>
      </w:r>
      <w:r>
        <w:rPr>
          <w:rFonts w:ascii="Times New Roman" w:hAnsi="Times New Roman" w:eastAsia="Times New Roman"/>
          <w:i/>
          <w:sz w:val="18"/>
        </w:rPr>
        <w:t>Journal of Learning Analytics, 6</w:t>
      </w:r>
      <w:r>
        <w:rPr>
          <w:rFonts w:ascii="Times New Roman" w:hAnsi="Times New Roman" w:eastAsia="Times New Roman"/>
          <w:sz w:val="18"/>
        </w:rPr>
        <w:t xml:space="preserve">(2), 27–52. </w:t>
      </w:r>
      <w:hyperlink r:id="rId24">
        <w:r>
          <w:rPr>
            <w:rFonts w:ascii="Times New Roman" w:hAnsi="Times New Roman" w:eastAsia="Times New Roman"/>
            <w:color w:val="2E74B5"/>
            <w:u w:val="single"/>
            <w:sz w:val="18"/>
          </w:rPr>
          <w:t>https://doi.org/10.18608/jla.2019.62.3</w:t>
        </w:r>
      </w:hyperlink>
    </w:p>
    <w:p>
      <w:pPr>
        <w:keepLines/>
        <w:spacing w:after="100" w:line="293" w:lineRule="auto"/>
        <w:ind w:left="360" w:hanging="360"/>
        <w:jc w:val="both"/>
      </w:pPr>
      <w:r>
        <w:rPr>
          <w:rFonts w:ascii="Times New Roman" w:hAnsi="Times New Roman" w:eastAsia="Times New Roman"/>
          <w:sz w:val="18"/>
        </w:rPr>
        <w:t xml:space="preserve">Kasneci, E., Sessler,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w:t>
      </w:r>
      <w:r>
        <w:rPr>
          <w:rFonts w:ascii="Times New Roman" w:hAnsi="Times New Roman" w:eastAsia="Times New Roman"/>
          <w:i/>
          <w:sz w:val="18"/>
        </w:rPr>
        <w:t>Learning and Individual Differences, 103</w:t>
      </w:r>
      <w:r>
        <w:rPr>
          <w:rFonts w:ascii="Times New Roman" w:hAnsi="Times New Roman" w:eastAsia="Times New Roman"/>
          <w:sz w:val="18"/>
        </w:rPr>
        <w:t xml:space="preserve">, 102274. </w:t>
      </w:r>
      <w:hyperlink r:id="rId25">
        <w:r>
          <w:rPr>
            <w:rFonts w:ascii="Times New Roman" w:hAnsi="Times New Roman" w:eastAsia="Times New Roman"/>
            <w:color w:val="2E74B5"/>
            <w:u w:val="single"/>
            <w:sz w:val="18"/>
          </w:rPr>
          <w:t>https://doi.org/10.1016/j.lindif.2023.102274</w:t>
        </w:r>
      </w:hyperlink>
    </w:p>
    <w:p>
      <w:pPr>
        <w:keepLines/>
        <w:spacing w:after="100" w:line="293" w:lineRule="auto"/>
        <w:ind w:left="360" w:hanging="360"/>
        <w:jc w:val="both"/>
      </w:pPr>
      <w:r>
        <w:rPr>
          <w:rFonts w:ascii="Times New Roman" w:hAnsi="Times New Roman" w:eastAsia="Times New Roman"/>
          <w:sz w:val="18"/>
        </w:rPr>
        <w:t xml:space="preserve">Kestin, G., Miller, K., Klales, A., Milbourne, T., &amp; Ponti, G. (2025). AI tutoring outperforms in-class active learning: An RCT introducing a novel research-based design in an authentic educational setting. </w:t>
      </w:r>
      <w:r>
        <w:rPr>
          <w:rFonts w:ascii="Times New Roman" w:hAnsi="Times New Roman" w:eastAsia="Times New Roman"/>
          <w:i/>
          <w:sz w:val="18"/>
        </w:rPr>
        <w:t>Scientific Reports, 15</w:t>
      </w:r>
      <w:r>
        <w:rPr>
          <w:rFonts w:ascii="Times New Roman" w:hAnsi="Times New Roman" w:eastAsia="Times New Roman"/>
          <w:sz w:val="18"/>
        </w:rPr>
        <w:t xml:space="preserve">, 17458. </w:t>
      </w:r>
      <w:hyperlink r:id="rId26">
        <w:r>
          <w:rPr>
            <w:rFonts w:ascii="Times New Roman" w:hAnsi="Times New Roman" w:eastAsia="Times New Roman"/>
            <w:color w:val="2E74B5"/>
            <w:u w:val="single"/>
            <w:sz w:val="18"/>
          </w:rPr>
          <w:t>https://doi.org/10.1038/s41598-025-97652-6</w:t>
        </w:r>
      </w:hyperlink>
    </w:p>
    <w:p>
      <w:pPr>
        <w:keepLines/>
        <w:spacing w:after="100" w:line="293" w:lineRule="auto"/>
        <w:ind w:left="360" w:hanging="360"/>
        <w:jc w:val="both"/>
      </w:pPr>
      <w:r>
        <w:rPr>
          <w:rFonts w:ascii="Times New Roman" w:hAnsi="Times New Roman" w:eastAsia="Times New Roman"/>
          <w:sz w:val="18"/>
        </w:rPr>
        <w:t xml:space="preserve">Kim, J., Detrick, R., Yu, S., Cho, Y. H., &amp; Li, S. (2025). Socially shared regulation of learning and artificial intelligence: Opportunities to support socially shared regulation. </w:t>
      </w:r>
      <w:r>
        <w:rPr>
          <w:rFonts w:ascii="Times New Roman" w:hAnsi="Times New Roman" w:eastAsia="Times New Roman"/>
          <w:i/>
          <w:sz w:val="18"/>
        </w:rPr>
        <w:t>Education and Information Technologies, 30</w:t>
      </w:r>
      <w:r>
        <w:rPr>
          <w:rFonts w:ascii="Times New Roman" w:hAnsi="Times New Roman" w:eastAsia="Times New Roman"/>
          <w:sz w:val="18"/>
        </w:rPr>
        <w:t xml:space="preserve">, 11483–11521. </w:t>
      </w:r>
      <w:hyperlink r:id="rId27">
        <w:r>
          <w:rPr>
            <w:rFonts w:ascii="Times New Roman" w:hAnsi="Times New Roman" w:eastAsia="Times New Roman"/>
            <w:color w:val="2E74B5"/>
            <w:u w:val="single"/>
            <w:sz w:val="18"/>
          </w:rPr>
          <w:t>https://doi.org/10.1007/s10639-024-13187-9</w:t>
        </w:r>
      </w:hyperlink>
    </w:p>
    <w:p>
      <w:pPr>
        <w:keepLines/>
        <w:spacing w:after="100" w:line="293" w:lineRule="auto"/>
        <w:ind w:left="360" w:hanging="360"/>
        <w:jc w:val="both"/>
      </w:pPr>
      <w:r>
        <w:rPr>
          <w:rFonts w:ascii="Times New Roman" w:hAnsi="Times New Roman" w:eastAsia="Times New Roman"/>
          <w:sz w:val="18"/>
        </w:rPr>
        <w:t xml:space="preserve">Kim, J., Lee, H., &amp; Cho, Y. H. (2022). Learning design to support student-AI collaboration: Perspectives of leading teachers for AI in education. </w:t>
      </w:r>
      <w:r>
        <w:rPr>
          <w:rFonts w:ascii="Times New Roman" w:hAnsi="Times New Roman" w:eastAsia="Times New Roman"/>
          <w:i/>
          <w:sz w:val="18"/>
        </w:rPr>
        <w:t>Education and Information Technologies, 27</w:t>
      </w:r>
      <w:r>
        <w:rPr>
          <w:rFonts w:ascii="Times New Roman" w:hAnsi="Times New Roman" w:eastAsia="Times New Roman"/>
          <w:sz w:val="18"/>
        </w:rPr>
        <w:t xml:space="preserve">, 6069–6104. </w:t>
      </w:r>
      <w:hyperlink r:id="rId28">
        <w:r>
          <w:rPr>
            <w:rFonts w:ascii="Times New Roman" w:hAnsi="Times New Roman" w:eastAsia="Times New Roman"/>
            <w:color w:val="2E74B5"/>
            <w:u w:val="single"/>
            <w:sz w:val="18"/>
          </w:rPr>
          <w:t>https://doi.org/10.1007/s10639-021-10831-6</w:t>
        </w:r>
      </w:hyperlink>
    </w:p>
    <w:p>
      <w:pPr>
        <w:keepLines/>
        <w:spacing w:after="100" w:line="293" w:lineRule="auto"/>
        <w:ind w:left="360" w:hanging="360"/>
        <w:jc w:val="both"/>
      </w:pPr>
      <w:r>
        <w:rPr>
          <w:rFonts w:ascii="Times New Roman" w:hAnsi="Times New Roman" w:eastAsia="Times New Roman"/>
          <w:sz w:val="18"/>
        </w:rPr>
        <w:t xml:space="preserve">Kim, N. J., Belland, B. R., &amp; Walker, A. E. (2018). Effectiveness of computer-based scaffolding in the context of problem-based learning for STEM education: Bayesian meta-analysis. </w:t>
      </w:r>
      <w:r>
        <w:rPr>
          <w:rFonts w:ascii="Times New Roman" w:hAnsi="Times New Roman" w:eastAsia="Times New Roman"/>
          <w:i/>
          <w:sz w:val="18"/>
        </w:rPr>
        <w:t>Educational Psychology Review, 30</w:t>
      </w:r>
      <w:r>
        <w:rPr>
          <w:rFonts w:ascii="Times New Roman" w:hAnsi="Times New Roman" w:eastAsia="Times New Roman"/>
          <w:sz w:val="18"/>
        </w:rPr>
        <w:t xml:space="preserve">, 397–429. </w:t>
      </w:r>
      <w:hyperlink r:id="rId29">
        <w:r>
          <w:rPr>
            <w:rFonts w:ascii="Times New Roman" w:hAnsi="Times New Roman" w:eastAsia="Times New Roman"/>
            <w:color w:val="2E74B5"/>
            <w:u w:val="single"/>
            <w:sz w:val="18"/>
          </w:rPr>
          <w:t>https://doi.org/10.1007/s10648-017-9419-1</w:t>
        </w:r>
      </w:hyperlink>
    </w:p>
    <w:p>
      <w:pPr>
        <w:keepLines/>
        <w:spacing w:after="100" w:line="293" w:lineRule="auto"/>
        <w:ind w:left="360" w:hanging="360"/>
        <w:jc w:val="both"/>
      </w:pPr>
      <w:r>
        <w:rPr>
          <w:rFonts w:ascii="Times New Roman" w:hAnsi="Times New Roman" w:eastAsia="Times New Roman"/>
          <w:sz w:val="18"/>
        </w:rPr>
        <w:t xml:space="preserve">Miao, F., &amp; Holmes, W. (2023). </w:t>
      </w:r>
      <w:r>
        <w:rPr>
          <w:rFonts w:ascii="Times New Roman" w:hAnsi="Times New Roman" w:eastAsia="Times New Roman"/>
          <w:i/>
          <w:sz w:val="18"/>
        </w:rPr>
        <w:t>Guidance for generative AI in education and research</w:t>
      </w:r>
      <w:r>
        <w:rPr>
          <w:rFonts w:ascii="Times New Roman" w:hAnsi="Times New Roman" w:eastAsia="Times New Roman"/>
          <w:sz w:val="18"/>
        </w:rPr>
        <w:t>. UNESCO.</w:t>
      </w:r>
    </w:p>
    <w:p>
      <w:pPr>
        <w:keepLines/>
        <w:spacing w:after="100" w:line="293" w:lineRule="auto"/>
        <w:ind w:left="360" w:hanging="360"/>
        <w:jc w:val="both"/>
      </w:pPr>
      <w:r>
        <w:rPr>
          <w:rFonts w:ascii="Times New Roman" w:hAnsi="Times New Roman" w:eastAsia="Times New Roman"/>
          <w:sz w:val="18"/>
        </w:rPr>
        <w:t xml:space="preserve">Mouta, A., Torrecilla-Sánchez, E. M., &amp; Pinto-Llorente, A. M. (2025). “Where is agency moving to?”: Exploring the interplay between AI technologies in education and human agency. </w:t>
      </w:r>
      <w:r>
        <w:rPr>
          <w:rFonts w:ascii="Times New Roman" w:hAnsi="Times New Roman" w:eastAsia="Times New Roman"/>
          <w:i/>
          <w:sz w:val="18"/>
        </w:rPr>
        <w:t>Digital Society, 4</w:t>
      </w:r>
      <w:r>
        <w:rPr>
          <w:rFonts w:ascii="Times New Roman" w:hAnsi="Times New Roman" w:eastAsia="Times New Roman"/>
          <w:sz w:val="18"/>
        </w:rPr>
        <w:t xml:space="preserve">, 49. </w:t>
      </w:r>
      <w:hyperlink r:id="rId30">
        <w:r>
          <w:rPr>
            <w:rFonts w:ascii="Times New Roman" w:hAnsi="Times New Roman" w:eastAsia="Times New Roman"/>
            <w:color w:val="2E74B5"/>
            <w:u w:val="single"/>
            <w:sz w:val="18"/>
          </w:rPr>
          <w:t>https://doi.org/10.1007/s44206-025-00203-9</w:t>
        </w:r>
      </w:hyperlink>
    </w:p>
    <w:p>
      <w:pPr>
        <w:keepLines/>
        <w:spacing w:after="100" w:line="293" w:lineRule="auto"/>
        <w:ind w:left="360" w:hanging="360"/>
        <w:jc w:val="both"/>
      </w:pPr>
      <w:r>
        <w:rPr>
          <w:rFonts w:ascii="Times New Roman" w:hAnsi="Times New Roman" w:eastAsia="Times New Roman"/>
          <w:sz w:val="18"/>
        </w:rPr>
        <w:t xml:space="preserve">Possaghi, I., Vesin, B., Zhang, F., Sharma, K., Knudsen, C., Bjørkum, H., &amp; Papavlasopoulou, S. (2025). Integrating multi-modal learning analytics dashboard in K-12 education: Insights for enhancing orchestration and teacher decision-making. </w:t>
      </w:r>
      <w:r>
        <w:rPr>
          <w:rFonts w:ascii="Times New Roman" w:hAnsi="Times New Roman" w:eastAsia="Times New Roman"/>
          <w:i/>
          <w:sz w:val="18"/>
        </w:rPr>
        <w:t>Smart Learning Environments, 12</w:t>
      </w:r>
      <w:r>
        <w:rPr>
          <w:rFonts w:ascii="Times New Roman" w:hAnsi="Times New Roman" w:eastAsia="Times New Roman"/>
          <w:sz w:val="18"/>
        </w:rPr>
        <w:t xml:space="preserve">, 53. </w:t>
      </w:r>
      <w:hyperlink r:id="rId31">
        <w:r>
          <w:rPr>
            <w:rFonts w:ascii="Times New Roman" w:hAnsi="Times New Roman" w:eastAsia="Times New Roman"/>
            <w:color w:val="2E74B5"/>
            <w:u w:val="single"/>
            <w:sz w:val="18"/>
          </w:rPr>
          <w:t>https://doi.org/10.1186/s40561-025-00410-4</w:t>
        </w:r>
      </w:hyperlink>
    </w:p>
    <w:p>
      <w:pPr>
        <w:keepLines/>
        <w:spacing w:after="100" w:line="293" w:lineRule="auto"/>
        <w:ind w:left="360" w:hanging="360"/>
        <w:jc w:val="both"/>
      </w:pPr>
      <w:r>
        <w:rPr>
          <w:rFonts w:ascii="Times New Roman" w:hAnsi="Times New Roman" w:eastAsia="Times New Roman"/>
          <w:sz w:val="18"/>
        </w:rPr>
        <w:t xml:space="preserve">Samuel, A. (2026). Learning with machines: Toward a theory of epistemic co-agency. </w:t>
      </w:r>
      <w:r>
        <w:rPr>
          <w:rFonts w:ascii="Times New Roman" w:hAnsi="Times New Roman" w:eastAsia="Times New Roman"/>
          <w:i/>
          <w:sz w:val="18"/>
        </w:rPr>
        <w:t>Computers and Education: Artificial Intelligence, 10</w:t>
      </w:r>
      <w:r>
        <w:rPr>
          <w:rFonts w:ascii="Times New Roman" w:hAnsi="Times New Roman" w:eastAsia="Times New Roman"/>
          <w:sz w:val="18"/>
        </w:rPr>
        <w:t xml:space="preserve">, 100573. </w:t>
      </w:r>
      <w:hyperlink r:id="rId32">
        <w:r>
          <w:rPr>
            <w:rFonts w:ascii="Times New Roman" w:hAnsi="Times New Roman" w:eastAsia="Times New Roman"/>
            <w:color w:val="2E74B5"/>
            <w:u w:val="single"/>
            <w:sz w:val="18"/>
          </w:rPr>
          <w:t>https://doi.org/10.1016/j.caeai.2026.100573</w:t>
        </w:r>
      </w:hyperlink>
    </w:p>
    <w:p>
      <w:pPr>
        <w:keepLines/>
        <w:spacing w:after="100" w:line="293" w:lineRule="auto"/>
        <w:ind w:left="360" w:hanging="360"/>
        <w:jc w:val="both"/>
      </w:pPr>
      <w:r>
        <w:rPr>
          <w:rFonts w:ascii="Times New Roman" w:hAnsi="Times New Roman" w:eastAsia="Times New Roman"/>
          <w:sz w:val="18"/>
        </w:rPr>
        <w:t xml:space="preserve">Wang, F., &amp; Hannafin, M. J. (2005). Design-based research and technology-enhanced learning environments. </w:t>
      </w:r>
      <w:r>
        <w:rPr>
          <w:rFonts w:ascii="Times New Roman" w:hAnsi="Times New Roman" w:eastAsia="Times New Roman"/>
          <w:i/>
          <w:sz w:val="18"/>
        </w:rPr>
        <w:t>Educational Technology Research and Development, 53</w:t>
      </w:r>
      <w:r>
        <w:rPr>
          <w:rFonts w:ascii="Times New Roman" w:hAnsi="Times New Roman" w:eastAsia="Times New Roman"/>
          <w:sz w:val="18"/>
        </w:rPr>
        <w:t xml:space="preserve">, 5–23. </w:t>
      </w:r>
      <w:hyperlink r:id="rId33">
        <w:r>
          <w:rPr>
            <w:rFonts w:ascii="Times New Roman" w:hAnsi="Times New Roman" w:eastAsia="Times New Roman"/>
            <w:color w:val="2E74B5"/>
            <w:u w:val="single"/>
            <w:sz w:val="18"/>
          </w:rPr>
          <w:t>https://doi.org/10.1007/BF02504682</w:t>
        </w:r>
      </w:hyperlink>
    </w:p>
    <w:p>
      <w:pPr>
        <w:pStyle w:val="Heading1"/>
      </w:pPr>
      <w:r>
        <w:rPr>
          <w:rFonts w:ascii="Times New Roman" w:hAnsi="Times New Roman" w:eastAsia="Times New Roman"/>
          <w:sz w:val="31"/>
        </w:rPr>
        <w:t>Data and Artifact Availability</w:t>
      </w:r>
    </w:p>
    <w:p>
      <w:pPr>
        <w:keepLines/>
        <w:spacing w:after="100" w:line="293" w:lineRule="auto"/>
        <w:ind w:left="360" w:hanging="360"/>
        <w:jc w:val="both"/>
      </w:pPr>
      <w:r>
        <w:rPr>
          <w:rFonts w:ascii="Times New Roman" w:hAnsi="Times New Roman" w:eastAsia="Times New Roman"/>
          <w:sz w:val="18"/>
        </w:rPr>
        <w:t>The artifact analysed in this paper is the OpenPBL repository at the stated development snapshot. Before submission or classroom study, the authors should create a frozen archival release containing the source revision, schema, decision records, prompt and model configuration, test commands, synthetic fixtures, and a data dictionary. No human-subject data were collected for the present study.</w:t>
      </w:r>
    </w:p>
    <w:p>
      <w:pPr>
        <w:pStyle w:val="Heading1"/>
      </w:pPr>
      <w:r>
        <w:rPr>
          <w:rFonts w:ascii="Times New Roman" w:hAnsi="Times New Roman" w:eastAsia="Times New Roman"/>
          <w:sz w:val="31"/>
        </w:rPr>
        <w:t>Author Contributions, Funding, and Competing Interests</w:t>
      </w:r>
    </w:p>
    <w:p>
      <w:pPr>
        <w:keepLines/>
        <w:spacing w:after="100" w:line="293" w:lineRule="auto"/>
        <w:ind w:left="360" w:hanging="360"/>
        <w:jc w:val="both"/>
      </w:pPr>
      <w:r>
        <w:rPr>
          <w:rFonts w:ascii="Times New Roman" w:hAnsi="Times New Roman" w:eastAsia="Times New Roman"/>
          <w:sz w:val="18"/>
        </w:rPr>
        <w:t>These statements are withheld for anonymous review. The submitted non-anonymous version should report contributions using the CRediT taxonomy, identify all funding, and disclose relevant financial or non-financial interests.</w:t>
      </w:r>
    </w:p>
    <w:sectPr w:rsidR="00FC693F" w:rsidRPr="0006063C" w:rsidSect="00034616">
      <w:headerReference w:type="default" r:id="rId9"/>
      <w:footerReference w:type="default" r:id="rId10"/>
      <w:pgSz w:w="12240" w:h="15840"/>
      <w:pgMar w:top="1238" w:right="1267" w:bottom="1181" w:left="126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7778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77788"/>
        <w:sz w:val="15"/>
      </w:rPr>
      <w:t>OPENPBL | EDUCATIONAL DESIGN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Times New Roman" w:hAnsi="Times New Roman" w:eastAsia="Times New Roman"/>
      <w:b/>
      <w:bCs/>
      <w:color w:val="20354A"/>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86/s41239-025-00548-8" TargetMode="External"/><Relationship Id="rId14" Type="http://schemas.openxmlformats.org/officeDocument/2006/relationships/hyperlink" Target="https://doi.org/10.1073/pnas.2422633122" TargetMode="External"/><Relationship Id="rId15" Type="http://schemas.openxmlformats.org/officeDocument/2006/relationships/hyperlink" Target="https://doi.org/10.1007/s40593-025-00529-y" TargetMode="External"/><Relationship Id="rId16" Type="http://schemas.openxmlformats.org/officeDocument/2006/relationships/hyperlink" Target="https://doi.org/10.1186/s40561-024-00301-0" TargetMode="External"/><Relationship Id="rId17" Type="http://schemas.openxmlformats.org/officeDocument/2006/relationships/hyperlink" Target="https://doi.org/10.1016/j.edurev.2018.11.001" TargetMode="External"/><Relationship Id="rId18" Type="http://schemas.openxmlformats.org/officeDocument/2006/relationships/hyperlink" Target="https://doi.org/10.1016/j.compedu.2023.104967" TargetMode="External"/><Relationship Id="rId19" Type="http://schemas.openxmlformats.org/officeDocument/2006/relationships/hyperlink" Target="https://doi.org/10.1007/s10648-025-10028-0" TargetMode="External"/><Relationship Id="rId20" Type="http://schemas.openxmlformats.org/officeDocument/2006/relationships/hyperlink" Target="https://doi.org/10.1016/j.compedu.2013.04.013" TargetMode="External"/><Relationship Id="rId21" Type="http://schemas.openxmlformats.org/officeDocument/2006/relationships/hyperlink" Target="https://doi.org/10.1016/j.edurev.2026.100809" TargetMode="External"/><Relationship Id="rId22" Type="http://schemas.openxmlformats.org/officeDocument/2006/relationships/hyperlink" Target="https://doi.org/10.4324/9781315697048-6" TargetMode="External"/><Relationship Id="rId23" Type="http://schemas.openxmlformats.org/officeDocument/2006/relationships/hyperlink" Target="https://doi.org/10.1080/00461520701263368" TargetMode="External"/><Relationship Id="rId24" Type="http://schemas.openxmlformats.org/officeDocument/2006/relationships/hyperlink" Target="https://doi.org/10.18608/jla.2019.62.3" TargetMode="External"/><Relationship Id="rId25" Type="http://schemas.openxmlformats.org/officeDocument/2006/relationships/hyperlink" Target="https://doi.org/10.1016/j.lindif.2023.102274" TargetMode="External"/><Relationship Id="rId26" Type="http://schemas.openxmlformats.org/officeDocument/2006/relationships/hyperlink" Target="https://doi.org/10.1038/s41598-025-97652-6" TargetMode="External"/><Relationship Id="rId27" Type="http://schemas.openxmlformats.org/officeDocument/2006/relationships/hyperlink" Target="https://doi.org/10.1007/s10639-024-13187-9" TargetMode="External"/><Relationship Id="rId28" Type="http://schemas.openxmlformats.org/officeDocument/2006/relationships/hyperlink" Target="https://doi.org/10.1007/s10639-021-10831-6" TargetMode="External"/><Relationship Id="rId29" Type="http://schemas.openxmlformats.org/officeDocument/2006/relationships/hyperlink" Target="https://doi.org/10.1007/s10648-017-9419-1" TargetMode="External"/><Relationship Id="rId30" Type="http://schemas.openxmlformats.org/officeDocument/2006/relationships/hyperlink" Target="https://doi.org/10.1007/s44206-025-00203-9" TargetMode="External"/><Relationship Id="rId31" Type="http://schemas.openxmlformats.org/officeDocument/2006/relationships/hyperlink" Target="https://doi.org/10.1186/s40561-025-00410-4" TargetMode="External"/><Relationship Id="rId32" Type="http://schemas.openxmlformats.org/officeDocument/2006/relationships/hyperlink" Target="https://doi.org/10.1016/j.caeai.2026.100573" TargetMode="External"/><Relationship Id="rId33" Type="http://schemas.openxmlformats.org/officeDocument/2006/relationships/hyperlink" Target="https://doi.org/10.1007/BF02504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OpenPBL: Curriculum-Anchored, Evidence-Gated, and Reversible Human-AI Co-Agency for Project-Based Learning</dc:title>
  <dc:subject>Educational design research and formative artifact evaluation</dc:subject>
  <dc:creator>Anonymous for peer review</dc:creator>
  <cp:keywords>AIED; project-based learning; human-AI co-agency; learner agency</cp:keywords>
  <dc:description>generated by python-docx</dc:description>
  <cp:lastModifiedBy/>
  <cp:revision>1</cp:revision>
  <dcterms:created xsi:type="dcterms:W3CDTF">2013-12-23T23:15:00Z</dcterms:created>
  <dcterms:modified xsi:type="dcterms:W3CDTF">2013-12-23T23:15:00Z</dcterms:modified>
  <cp:category/>
</cp:coreProperties>
</file>