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Software-defined vehicles: Software dream, integration nightmare</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shd w:fill="ffffff" w:val="clear"/>
        <w:spacing w:after="240" w:line="336" w:lineRule="auto"/>
        <w:rPr>
          <w:color w:val="1d2833"/>
          <w:sz w:val="21"/>
          <w:szCs w:val="21"/>
        </w:rPr>
      </w:pPr>
      <w:r w:rsidDel="00000000" w:rsidR="00000000" w:rsidRPr="00000000">
        <w:rPr>
          <w:color w:val="1d2833"/>
          <w:sz w:val="21"/>
          <w:szCs w:val="21"/>
          <w:rtl w:val="0"/>
        </w:rPr>
        <w:t xml:space="preserve">The software-defined vehicle (SDV) represents a paradigm shift in automotive engineering, where clinging to legacy development models is no longer an option. Integration remains a major challenge, but it is not insurmountable. However, mechanical innovation alone is no longer enough; value now lies in a vehicle’s ability to be updated, refined and extended through software long after it leaves the factory floor.</w:t>
      </w:r>
    </w:p>
    <w:p w:rsidR="00000000" w:rsidDel="00000000" w:rsidP="00000000" w:rsidRDefault="00000000" w:rsidRPr="00000000" w14:paraId="00000005">
      <w:pPr>
        <w:shd w:fill="ffffff" w:val="clear"/>
        <w:spacing w:after="240" w:line="336" w:lineRule="auto"/>
        <w:rPr>
          <w:color w:val="1d2833"/>
          <w:sz w:val="21"/>
          <w:szCs w:val="21"/>
        </w:rPr>
      </w:pPr>
      <w:r w:rsidDel="00000000" w:rsidR="00000000" w:rsidRPr="00000000">
        <w:rPr>
          <w:color w:val="1d2833"/>
          <w:sz w:val="21"/>
          <w:szCs w:val="21"/>
          <w:rtl w:val="0"/>
        </w:rPr>
        <w:t xml:space="preserve">The shift from hardware-centric machines to SDVs promises a future of perpetual upgrades, personalized experiences and unprecedented connectivity: vehicles that improve over time, adapt to driver needs and seamlessly connect to digital ecosystems and mobility services. Yet, for the architects and engineers designing these complex systems, this software dream often feels more like an integration nightmare.</w:t>
      </w:r>
    </w:p>
    <w:p w:rsidR="00000000" w:rsidDel="00000000" w:rsidP="00000000" w:rsidRDefault="00000000" w:rsidRPr="00000000" w14:paraId="00000006">
      <w:pPr>
        <w:shd w:fill="ffffff" w:val="clear"/>
        <w:spacing w:after="240" w:line="336" w:lineRule="auto"/>
        <w:rPr>
          <w:color w:val="1d2833"/>
          <w:sz w:val="21"/>
          <w:szCs w:val="21"/>
        </w:rPr>
      </w:pPr>
      <w:r w:rsidDel="00000000" w:rsidR="00000000" w:rsidRPr="00000000">
        <w:rPr>
          <w:color w:val="1d2833"/>
          <w:sz w:val="21"/>
          <w:szCs w:val="21"/>
          <w:rtl w:val="0"/>
        </w:rPr>
        <w:t xml:space="preserve">As vehicles evolve into rolling data centers, the complexity of integrating infotainment, driver assistance and real-time control systems is growing exponentially. This shift requires a fundamental rethinking of vehicle design, development and maintenance. For CTOs, system architects and innovation leads, the core challenge is making disparate systems work together seamlessly, safely and securely. </w:t>
      </w:r>
    </w:p>
    <w:p w:rsidR="00000000" w:rsidDel="00000000" w:rsidP="00000000" w:rsidRDefault="00000000" w:rsidRPr="00000000" w14:paraId="00000007">
      <w:pPr>
        <w:shd w:fill="ffffff" w:val="clear"/>
        <w:spacing w:after="240" w:line="336" w:lineRule="auto"/>
        <w:rPr>
          <w:color w:val="1d2833"/>
          <w:sz w:val="21"/>
          <w:szCs w:val="21"/>
        </w:rPr>
      </w:pPr>
      <w:r w:rsidDel="00000000" w:rsidR="00000000" w:rsidRPr="00000000">
        <w:rPr>
          <w:color w:val="1d2833"/>
          <w:sz w:val="21"/>
          <w:szCs w:val="21"/>
          <w:rtl w:val="0"/>
        </w:rPr>
        <w:t xml:space="preserve">To turn this complexity into opportunity, the industry needs more than new technology; it needs a new operating model. This article explores a structured approach built on a centralized foundation, a unified abstraction layer and fully automated software factories. With the right architecture and mindset, CTOs, system architects and innovation leaders can master the integration complexity and deliver on the full promise of the software-defined vehicle.</w:t>
      </w:r>
    </w:p>
    <w:p w:rsidR="00000000" w:rsidDel="00000000" w:rsidP="00000000" w:rsidRDefault="00000000" w:rsidRPr="00000000" w14:paraId="00000008">
      <w:pPr>
        <w:shd w:fill="ffffff" w:val="clear"/>
        <w:spacing w:after="240" w:line="336" w:lineRule="auto"/>
        <w:rPr>
          <w:color w:val="1d2833"/>
          <w:sz w:val="21"/>
          <w:szCs w:val="21"/>
        </w:rPr>
      </w:pPr>
      <w:r w:rsidDel="00000000" w:rsidR="00000000" w:rsidRPr="00000000">
        <w:rPr>
          <w:color w:val="1d2833"/>
          <w:sz w:val="21"/>
          <w:szCs w:val="21"/>
          <w:rtl w:val="0"/>
        </w:rPr>
        <w:t xml:space="preserve"> </w:t>
      </w:r>
    </w:p>
    <w:p w:rsidR="00000000" w:rsidDel="00000000" w:rsidP="00000000" w:rsidRDefault="00000000" w:rsidRPr="00000000" w14:paraId="00000009">
      <w:pPr>
        <w:pStyle w:val="Heading2"/>
        <w:keepNext w:val="0"/>
        <w:keepLines w:val="0"/>
        <w:shd w:fill="ffffff" w:val="clear"/>
        <w:spacing w:after="80" w:before="0" w:line="288" w:lineRule="auto"/>
        <w:rPr>
          <w:color w:val="1d2833"/>
          <w:sz w:val="33"/>
          <w:szCs w:val="33"/>
        </w:rPr>
      </w:pPr>
      <w:bookmarkStart w:colFirst="0" w:colLast="0" w:name="_lmd9br2u8ldm" w:id="0"/>
      <w:bookmarkEnd w:id="0"/>
      <w:r w:rsidDel="00000000" w:rsidR="00000000" w:rsidRPr="00000000">
        <w:rPr>
          <w:color w:val="1d2833"/>
          <w:sz w:val="33"/>
          <w:szCs w:val="33"/>
          <w:rtl w:val="0"/>
        </w:rPr>
        <w:t xml:space="preserve">The integration challenge: A legacy of fragmentation</w:t>
      </w:r>
    </w:p>
    <w:p w:rsidR="00000000" w:rsidDel="00000000" w:rsidP="00000000" w:rsidRDefault="00000000" w:rsidRPr="00000000" w14:paraId="0000000A">
      <w:pPr>
        <w:shd w:fill="ffffff" w:val="clear"/>
        <w:spacing w:after="240" w:line="336" w:lineRule="auto"/>
        <w:rPr>
          <w:color w:val="1d2833"/>
          <w:sz w:val="21"/>
          <w:szCs w:val="21"/>
        </w:rPr>
      </w:pPr>
      <w:r w:rsidDel="00000000" w:rsidR="00000000" w:rsidRPr="00000000">
        <w:rPr>
          <w:color w:val="1d2833"/>
          <w:sz w:val="21"/>
          <w:szCs w:val="21"/>
          <w:rtl w:val="0"/>
        </w:rPr>
        <w:t xml:space="preserve">The root of the SDV integration problem lies in the automotive industry's history. Traditional vehicle development was hardware-centric, with distinct Electronic Control Units (ECUs) responsible for specific functions. This distributed architecture is now a major constraint. Engineering teams often work in silos—software, hardware, systems and safety—using incompatible toolchains and processes.</w:t>
      </w:r>
    </w:p>
    <w:p w:rsidR="00000000" w:rsidDel="00000000" w:rsidP="00000000" w:rsidRDefault="00000000" w:rsidRPr="00000000" w14:paraId="0000000B">
      <w:pPr>
        <w:shd w:fill="ffffff" w:val="clear"/>
        <w:spacing w:after="240" w:line="336" w:lineRule="auto"/>
        <w:rPr>
          <w:color w:val="1d2833"/>
          <w:sz w:val="21"/>
          <w:szCs w:val="21"/>
        </w:rPr>
      </w:pPr>
      <w:r w:rsidDel="00000000" w:rsidR="00000000" w:rsidRPr="00000000">
        <w:rPr>
          <w:color w:val="1d2833"/>
          <w:sz w:val="21"/>
          <w:szCs w:val="21"/>
          <w:rtl w:val="0"/>
        </w:rPr>
        <w:t xml:space="preserve">This fragmentation creates significant friction. Mismatched development timelines between software and hardware lead to delays. A lack of standardized tools results in replicated work and costly architectural revisions. For leaders responsible for delivering innovative products, these inefficiencies translate directly into blown budgets, missed deadlines and compromised quality. The primary pain points of integration stem from this deeply ingrained separation.</w:t>
        <w:br w:type="textWrapping"/>
        <w:t xml:space="preserve"> </w:t>
      </w:r>
    </w:p>
    <w:p w:rsidR="00000000" w:rsidDel="00000000" w:rsidP="00000000" w:rsidRDefault="00000000" w:rsidRPr="00000000" w14:paraId="0000000C">
      <w:pPr>
        <w:pStyle w:val="Heading2"/>
        <w:keepNext w:val="0"/>
        <w:keepLines w:val="0"/>
        <w:shd w:fill="ffffff" w:val="clear"/>
        <w:spacing w:after="80" w:before="0" w:line="288" w:lineRule="auto"/>
        <w:rPr>
          <w:color w:val="1d2833"/>
          <w:sz w:val="33"/>
          <w:szCs w:val="33"/>
        </w:rPr>
      </w:pPr>
      <w:bookmarkStart w:colFirst="0" w:colLast="0" w:name="_vopi3miu4835" w:id="1"/>
      <w:bookmarkEnd w:id="1"/>
      <w:r w:rsidDel="00000000" w:rsidR="00000000" w:rsidRPr="00000000">
        <w:rPr>
          <w:color w:val="1d2833"/>
          <w:sz w:val="33"/>
          <w:szCs w:val="33"/>
          <w:rtl w:val="0"/>
        </w:rPr>
        <w:t xml:space="preserve">A framework for navigating integration complexity</w:t>
      </w:r>
    </w:p>
    <w:p w:rsidR="00000000" w:rsidDel="00000000" w:rsidP="00000000" w:rsidRDefault="00000000" w:rsidRPr="00000000" w14:paraId="0000000D">
      <w:pPr>
        <w:shd w:fill="ffffff" w:val="clear"/>
        <w:spacing w:after="240" w:line="336" w:lineRule="auto"/>
        <w:rPr>
          <w:color w:val="1d2833"/>
          <w:sz w:val="21"/>
          <w:szCs w:val="21"/>
        </w:rPr>
      </w:pPr>
      <w:r w:rsidDel="00000000" w:rsidR="00000000" w:rsidRPr="00000000">
        <w:rPr>
          <w:color w:val="1d2833"/>
          <w:sz w:val="21"/>
          <w:szCs w:val="21"/>
          <w:rtl w:val="0"/>
        </w:rPr>
        <w:t xml:space="preserve">To conquer the integration nightmare, organizations need a structured approach. The following framework breaks down the problem into three interconnected layers: Foundation, Abstraction and Automation. By addressing each layer strategically, teams can build a cohesive and scalable development ecosystem.</w:t>
      </w:r>
    </w:p>
    <w:p w:rsidR="00000000" w:rsidDel="00000000" w:rsidP="00000000" w:rsidRDefault="00000000" w:rsidRPr="00000000" w14:paraId="0000000E">
      <w:pPr>
        <w:pStyle w:val="Heading3"/>
        <w:keepNext w:val="0"/>
        <w:keepLines w:val="0"/>
        <w:shd w:fill="ffffff" w:val="clear"/>
        <w:spacing w:before="0" w:line="288" w:lineRule="auto"/>
        <w:rPr>
          <w:color w:val="1d2833"/>
          <w:sz w:val="25"/>
          <w:szCs w:val="25"/>
        </w:rPr>
      </w:pPr>
      <w:bookmarkStart w:colFirst="0" w:colLast="0" w:name="_qfg5zoazl2i9" w:id="2"/>
      <w:bookmarkEnd w:id="2"/>
      <w:r w:rsidDel="00000000" w:rsidR="00000000" w:rsidRPr="00000000">
        <w:rPr>
          <w:color w:val="1d2833"/>
          <w:sz w:val="25"/>
          <w:szCs w:val="25"/>
          <w:rtl w:val="0"/>
        </w:rPr>
        <w:t xml:space="preserve">Layer 1: Foundation—centralized architecture and virtualization</w:t>
      </w:r>
    </w:p>
    <w:p w:rsidR="00000000" w:rsidDel="00000000" w:rsidP="00000000" w:rsidRDefault="00000000" w:rsidRPr="00000000" w14:paraId="0000000F">
      <w:pPr>
        <w:shd w:fill="ffffff" w:val="clear"/>
        <w:spacing w:after="240" w:line="336" w:lineRule="auto"/>
        <w:rPr>
          <w:color w:val="1d2833"/>
          <w:sz w:val="21"/>
          <w:szCs w:val="21"/>
        </w:rPr>
      </w:pPr>
      <w:r w:rsidDel="00000000" w:rsidR="00000000" w:rsidRPr="00000000">
        <w:rPr>
          <w:color w:val="1d2833"/>
          <w:sz w:val="21"/>
          <w:szCs w:val="21"/>
          <w:rtl w:val="0"/>
        </w:rPr>
        <w:t xml:space="preserve">The traditional distributed E/E architecture is no longer viable. The future of automotive design is a centralized architecture built around High-Performance Computers (HPCs). This foundational shift allows for the consolidation of functions that were previously spread across dozens of ECUs.</w:t>
      </w:r>
    </w:p>
    <w:p w:rsidR="00000000" w:rsidDel="00000000" w:rsidP="00000000" w:rsidRDefault="00000000" w:rsidRPr="00000000" w14:paraId="00000010">
      <w:pPr>
        <w:shd w:fill="ffffff" w:val="clear"/>
        <w:spacing w:after="240" w:line="336" w:lineRule="auto"/>
        <w:rPr>
          <w:color w:val="1d2833"/>
          <w:sz w:val="21"/>
          <w:szCs w:val="21"/>
        </w:rPr>
      </w:pPr>
      <w:r w:rsidDel="00000000" w:rsidR="00000000" w:rsidRPr="00000000">
        <w:rPr>
          <w:color w:val="1d2833"/>
          <w:sz w:val="21"/>
          <w:szCs w:val="21"/>
          <w:rtl w:val="0"/>
        </w:rPr>
        <w:t xml:space="preserve">However, centralization alone is not enough. The key to managing this complexity is virtualization. By partitioning the HPC into isolated Virtual Machines (VMs), engineers can run multiple operating systems (like Android Automotive, QNX and Linux) on a single piece of hardware. This approach provides "freedom from interference," ensuring that a failure in the infotainment system does not affect critical safety functions like braking or steering.</w:t>
      </w:r>
    </w:p>
    <w:p w:rsidR="00000000" w:rsidDel="00000000" w:rsidP="00000000" w:rsidRDefault="00000000" w:rsidRPr="00000000" w14:paraId="00000011">
      <w:pPr>
        <w:shd w:fill="ffffff" w:val="clear"/>
        <w:spacing w:after="240" w:line="336" w:lineRule="auto"/>
        <w:rPr>
          <w:color w:val="1d2833"/>
          <w:sz w:val="21"/>
          <w:szCs w:val="21"/>
        </w:rPr>
      </w:pPr>
      <w:r w:rsidDel="00000000" w:rsidR="00000000" w:rsidRPr="00000000">
        <w:rPr>
          <w:color w:val="1d2833"/>
          <w:sz w:val="21"/>
          <w:szCs w:val="21"/>
          <w:rtl w:val="0"/>
        </w:rPr>
        <w:t xml:space="preserve">Key actions:</w:t>
      </w:r>
    </w:p>
    <w:p w:rsidR="00000000" w:rsidDel="00000000" w:rsidP="00000000" w:rsidRDefault="00000000" w:rsidRPr="00000000" w14:paraId="00000012">
      <w:pPr>
        <w:numPr>
          <w:ilvl w:val="0"/>
          <w:numId w:val="2"/>
        </w:numPr>
        <w:spacing w:after="0" w:afterAutospacing="0" w:lineRule="auto"/>
        <w:ind w:left="720" w:hanging="360"/>
        <w:rPr/>
      </w:pPr>
      <w:r w:rsidDel="00000000" w:rsidR="00000000" w:rsidRPr="00000000">
        <w:rPr>
          <w:color w:val="1d2833"/>
          <w:sz w:val="21"/>
          <w:szCs w:val="21"/>
          <w:rtl w:val="0"/>
        </w:rPr>
        <w:t xml:space="preserve">Adopt HPCs: Transition from a distributed ECU model to a centralized, domain-based, or zonal architecture powered by HPCs.</w:t>
      </w:r>
    </w:p>
    <w:p w:rsidR="00000000" w:rsidDel="00000000" w:rsidP="00000000" w:rsidRDefault="00000000" w:rsidRPr="00000000" w14:paraId="00000013">
      <w:pPr>
        <w:numPr>
          <w:ilvl w:val="0"/>
          <w:numId w:val="2"/>
        </w:numPr>
        <w:spacing w:after="0" w:afterAutospacing="0" w:lineRule="auto"/>
        <w:ind w:left="720" w:hanging="360"/>
        <w:rPr/>
      </w:pPr>
      <w:r w:rsidDel="00000000" w:rsidR="00000000" w:rsidRPr="00000000">
        <w:rPr>
          <w:color w:val="1d2833"/>
          <w:sz w:val="21"/>
          <w:szCs w:val="21"/>
          <w:rtl w:val="0"/>
        </w:rPr>
        <w:t xml:space="preserve">Leverage hypervisors: Implement pre-configured hypervisors to create isolated VMs, allowing applications with different safety and real-time requirements to coexist securely.</w:t>
      </w:r>
    </w:p>
    <w:p w:rsidR="00000000" w:rsidDel="00000000" w:rsidP="00000000" w:rsidRDefault="00000000" w:rsidRPr="00000000" w14:paraId="00000014">
      <w:pPr>
        <w:numPr>
          <w:ilvl w:val="0"/>
          <w:numId w:val="2"/>
        </w:numPr>
        <w:spacing w:after="240" w:lineRule="auto"/>
        <w:ind w:left="720" w:hanging="360"/>
        <w:rPr/>
      </w:pPr>
      <w:r w:rsidDel="00000000" w:rsidR="00000000" w:rsidRPr="00000000">
        <w:rPr>
          <w:color w:val="1d2833"/>
          <w:sz w:val="21"/>
          <w:szCs w:val="21"/>
          <w:rtl w:val="0"/>
        </w:rPr>
        <w:t xml:space="preserve">Ensure domain isolation: Use virtualization to guarantee that non-critical systems (like infotainment) are completely separated from safety-critical domains (like ADAS).</w:t>
        <w:br w:type="textWrapping"/>
        <w:t xml:space="preserve"> </w:t>
      </w:r>
    </w:p>
    <w:p w:rsidR="00000000" w:rsidDel="00000000" w:rsidP="00000000" w:rsidRDefault="00000000" w:rsidRPr="00000000" w14:paraId="00000015">
      <w:pPr>
        <w:pStyle w:val="Heading3"/>
        <w:keepNext w:val="0"/>
        <w:keepLines w:val="0"/>
        <w:shd w:fill="ffffff" w:val="clear"/>
        <w:spacing w:before="0" w:line="288" w:lineRule="auto"/>
        <w:rPr>
          <w:color w:val="1d2833"/>
          <w:sz w:val="25"/>
          <w:szCs w:val="25"/>
        </w:rPr>
      </w:pPr>
      <w:bookmarkStart w:colFirst="0" w:colLast="0" w:name="_lzjrifx8nw4e" w:id="3"/>
      <w:bookmarkEnd w:id="3"/>
      <w:r w:rsidDel="00000000" w:rsidR="00000000" w:rsidRPr="00000000">
        <w:rPr>
          <w:color w:val="1d2833"/>
          <w:sz w:val="25"/>
          <w:szCs w:val="25"/>
          <w:rtl w:val="0"/>
        </w:rPr>
        <w:t xml:space="preserve">Layer 2: Abstraction—unifying communication and hardware</w:t>
      </w:r>
    </w:p>
    <w:p w:rsidR="00000000" w:rsidDel="00000000" w:rsidP="00000000" w:rsidRDefault="00000000" w:rsidRPr="00000000" w14:paraId="00000016">
      <w:pPr>
        <w:shd w:fill="ffffff" w:val="clear"/>
        <w:spacing w:after="240" w:line="336" w:lineRule="auto"/>
        <w:rPr>
          <w:color w:val="1d2833"/>
          <w:sz w:val="21"/>
          <w:szCs w:val="21"/>
        </w:rPr>
      </w:pPr>
      <w:r w:rsidDel="00000000" w:rsidR="00000000" w:rsidRPr="00000000">
        <w:rPr>
          <w:color w:val="1d2833"/>
          <w:sz w:val="21"/>
          <w:szCs w:val="21"/>
          <w:rtl w:val="0"/>
        </w:rPr>
        <w:t xml:space="preserve">With a virtualized foundation in place, the next challenge is enabling these isolated domains to communicate and interact. This is where the abstraction layer becomes critical. A robust middleware solution acts as a universal translator, harmonizing communication between different VMs and software stacks, regardless of the underlying protocols (e.g., gRPC, SOME/IP).</w:t>
      </w:r>
    </w:p>
    <w:p w:rsidR="00000000" w:rsidDel="00000000" w:rsidP="00000000" w:rsidRDefault="00000000" w:rsidRPr="00000000" w14:paraId="00000017">
      <w:pPr>
        <w:shd w:fill="ffffff" w:val="clear"/>
        <w:spacing w:after="240" w:line="336" w:lineRule="auto"/>
        <w:rPr>
          <w:color w:val="1d2833"/>
          <w:sz w:val="21"/>
          <w:szCs w:val="21"/>
        </w:rPr>
      </w:pPr>
      <w:r w:rsidDel="00000000" w:rsidR="00000000" w:rsidRPr="00000000">
        <w:rPr>
          <w:color w:val="1d2833"/>
          <w:sz w:val="21"/>
          <w:szCs w:val="21"/>
          <w:rtl w:val="0"/>
        </w:rPr>
        <w:t xml:space="preserve">Abstracting the hardware is equally important. A hardware abstraction layer (HAL) decouples the software from specific SoCs, displays and sensors. This prevents vendor lock-in, giving OEMs the freedom to choose the best hardware for their needs without requiring a complete software rewrite. It ensures the platform is future-ready and can adapt to new technologies as they emerge.</w:t>
      </w:r>
    </w:p>
    <w:p w:rsidR="00000000" w:rsidDel="00000000" w:rsidP="00000000" w:rsidRDefault="00000000" w:rsidRPr="00000000" w14:paraId="00000018">
      <w:pPr>
        <w:shd w:fill="ffffff" w:val="clear"/>
        <w:spacing w:after="240" w:line="336" w:lineRule="auto"/>
        <w:rPr>
          <w:color w:val="1d2833"/>
          <w:sz w:val="21"/>
          <w:szCs w:val="21"/>
        </w:rPr>
      </w:pPr>
      <w:r w:rsidDel="00000000" w:rsidR="00000000" w:rsidRPr="00000000">
        <w:rPr>
          <w:color w:val="1d2833"/>
          <w:sz w:val="21"/>
          <w:szCs w:val="21"/>
          <w:rtl w:val="0"/>
        </w:rPr>
        <w:t xml:space="preserve">Key actions:</w:t>
      </w:r>
    </w:p>
    <w:p w:rsidR="00000000" w:rsidDel="00000000" w:rsidP="00000000" w:rsidRDefault="00000000" w:rsidRPr="00000000" w14:paraId="00000019">
      <w:pPr>
        <w:numPr>
          <w:ilvl w:val="0"/>
          <w:numId w:val="1"/>
        </w:numPr>
        <w:spacing w:after="0" w:afterAutospacing="0" w:lineRule="auto"/>
        <w:ind w:left="720" w:hanging="360"/>
        <w:rPr/>
      </w:pPr>
      <w:r w:rsidDel="00000000" w:rsidR="00000000" w:rsidRPr="00000000">
        <w:rPr>
          <w:color w:val="1d2833"/>
          <w:sz w:val="21"/>
          <w:szCs w:val="21"/>
          <w:rtl w:val="0"/>
        </w:rPr>
        <w:t xml:space="preserve">Implement cross-domain middleware: Use a middleware solution to enable seamless and secure inter-VM communication across all domains.</w:t>
      </w:r>
    </w:p>
    <w:p w:rsidR="00000000" w:rsidDel="00000000" w:rsidP="00000000" w:rsidRDefault="00000000" w:rsidRPr="00000000" w14:paraId="0000001A">
      <w:pPr>
        <w:numPr>
          <w:ilvl w:val="0"/>
          <w:numId w:val="1"/>
        </w:numPr>
        <w:spacing w:after="0" w:afterAutospacing="0" w:lineRule="auto"/>
        <w:ind w:left="720" w:hanging="360"/>
        <w:rPr/>
      </w:pPr>
      <w:r w:rsidDel="00000000" w:rsidR="00000000" w:rsidRPr="00000000">
        <w:rPr>
          <w:color w:val="1d2833"/>
          <w:sz w:val="21"/>
          <w:szCs w:val="21"/>
          <w:rtl w:val="0"/>
        </w:rPr>
        <w:t xml:space="preserve">Utilize a Hardware Abstraction Layer (HAL): Decouple software from the underlying hardware to maintain flexibility and avoid vendor lock-in.</w:t>
      </w:r>
    </w:p>
    <w:p w:rsidR="00000000" w:rsidDel="00000000" w:rsidP="00000000" w:rsidRDefault="00000000" w:rsidRPr="00000000" w14:paraId="0000001B">
      <w:pPr>
        <w:numPr>
          <w:ilvl w:val="0"/>
          <w:numId w:val="1"/>
        </w:numPr>
        <w:spacing w:after="240" w:lineRule="auto"/>
        <w:ind w:left="720" w:hanging="360"/>
        <w:rPr/>
      </w:pPr>
      <w:r w:rsidDel="00000000" w:rsidR="00000000" w:rsidRPr="00000000">
        <w:rPr>
          <w:color w:val="1d2833"/>
          <w:sz w:val="21"/>
          <w:szCs w:val="21"/>
          <w:rtl w:val="0"/>
        </w:rPr>
        <w:t xml:space="preserve">Standardize APIs: Provide clear APIs and tooling that allow for OEM-driven customization and reuse of software components across different vehicle lines.</w:t>
        <w:br w:type="textWrapping"/>
      </w:r>
    </w:p>
    <w:p w:rsidR="00000000" w:rsidDel="00000000" w:rsidP="00000000" w:rsidRDefault="00000000" w:rsidRPr="00000000" w14:paraId="0000001C">
      <w:pPr>
        <w:pStyle w:val="Heading3"/>
        <w:keepNext w:val="0"/>
        <w:keepLines w:val="0"/>
        <w:shd w:fill="ffffff" w:val="clear"/>
        <w:spacing w:before="0" w:line="288" w:lineRule="auto"/>
        <w:rPr>
          <w:color w:val="1d2833"/>
          <w:sz w:val="25"/>
          <w:szCs w:val="25"/>
        </w:rPr>
      </w:pPr>
      <w:bookmarkStart w:colFirst="0" w:colLast="0" w:name="_7d3yslg8x66e" w:id="4"/>
      <w:bookmarkEnd w:id="4"/>
      <w:r w:rsidDel="00000000" w:rsidR="00000000" w:rsidRPr="00000000">
        <w:rPr>
          <w:color w:val="1d2833"/>
          <w:sz w:val="25"/>
          <w:szCs w:val="25"/>
          <w:rtl w:val="0"/>
        </w:rPr>
        <w:t xml:space="preserve">Layer 3: Automation—the software factory approach</w:t>
      </w:r>
    </w:p>
    <w:p w:rsidR="00000000" w:rsidDel="00000000" w:rsidP="00000000" w:rsidRDefault="00000000" w:rsidRPr="00000000" w14:paraId="0000001D">
      <w:pPr>
        <w:shd w:fill="ffffff" w:val="clear"/>
        <w:spacing w:after="240" w:line="336" w:lineRule="auto"/>
        <w:rPr>
          <w:color w:val="1d2833"/>
          <w:sz w:val="21"/>
          <w:szCs w:val="21"/>
        </w:rPr>
      </w:pPr>
      <w:r w:rsidDel="00000000" w:rsidR="00000000" w:rsidRPr="00000000">
        <w:rPr>
          <w:color w:val="1d2833"/>
          <w:sz w:val="21"/>
          <w:szCs w:val="21"/>
          <w:rtl w:val="0"/>
        </w:rPr>
        <w:t xml:space="preserve">The final layer is automation. The speed and complexity of SDV development demand a modern, CI/CD-driven approach—a Software Factory. This automated pipeline spans the entire development lifecycle, from requirements and design to integration, testing, and deployment.</w:t>
      </w:r>
    </w:p>
    <w:p w:rsidR="00000000" w:rsidDel="00000000" w:rsidP="00000000" w:rsidRDefault="00000000" w:rsidRPr="00000000" w14:paraId="0000001E">
      <w:pPr>
        <w:shd w:fill="ffffff" w:val="clear"/>
        <w:spacing w:after="240" w:line="336" w:lineRule="auto"/>
        <w:rPr>
          <w:color w:val="1d2833"/>
          <w:sz w:val="21"/>
          <w:szCs w:val="21"/>
        </w:rPr>
      </w:pPr>
      <w:r w:rsidDel="00000000" w:rsidR="00000000" w:rsidRPr="00000000">
        <w:rPr>
          <w:color w:val="1d2833"/>
          <w:sz w:val="21"/>
          <w:szCs w:val="21"/>
          <w:rtl w:val="0"/>
        </w:rPr>
        <w:t xml:space="preserve">A Software Factory ensures traceability, compliance and the continuous delivery of high-quality software. It enables "shift-left" development, where testing and validation occur early and often on virtual targets, long before physical hardware is available. This dramatically accelerates development cycles and reduces the risk of discovering critical flaws late in the process.</w:t>
      </w:r>
    </w:p>
    <w:p w:rsidR="00000000" w:rsidDel="00000000" w:rsidP="00000000" w:rsidRDefault="00000000" w:rsidRPr="00000000" w14:paraId="0000001F">
      <w:pPr>
        <w:shd w:fill="ffffff" w:val="clear"/>
        <w:spacing w:after="240" w:line="336" w:lineRule="auto"/>
        <w:rPr>
          <w:color w:val="1d2833"/>
          <w:sz w:val="21"/>
          <w:szCs w:val="21"/>
        </w:rPr>
      </w:pPr>
      <w:r w:rsidDel="00000000" w:rsidR="00000000" w:rsidRPr="00000000">
        <w:rPr>
          <w:color w:val="1d2833"/>
          <w:sz w:val="21"/>
          <w:szCs w:val="21"/>
          <w:rtl w:val="0"/>
        </w:rPr>
        <w:t xml:space="preserve">Key actions:</w:t>
      </w:r>
    </w:p>
    <w:p w:rsidR="00000000" w:rsidDel="00000000" w:rsidP="00000000" w:rsidRDefault="00000000" w:rsidRPr="00000000" w14:paraId="00000020">
      <w:pPr>
        <w:numPr>
          <w:ilvl w:val="0"/>
          <w:numId w:val="4"/>
        </w:numPr>
        <w:spacing w:after="0" w:afterAutospacing="0" w:lineRule="auto"/>
        <w:ind w:left="720" w:hanging="360"/>
        <w:rPr/>
      </w:pPr>
      <w:r w:rsidDel="00000000" w:rsidR="00000000" w:rsidRPr="00000000">
        <w:rPr>
          <w:color w:val="1d2833"/>
          <w:sz w:val="21"/>
          <w:szCs w:val="21"/>
          <w:rtl w:val="0"/>
        </w:rPr>
        <w:t xml:space="preserve">Build a CI/CD pipeline: Implement an automated development and integration pipeline tailored for automotive software.</w:t>
      </w:r>
    </w:p>
    <w:p w:rsidR="00000000" w:rsidDel="00000000" w:rsidP="00000000" w:rsidRDefault="00000000" w:rsidRPr="00000000" w14:paraId="00000021">
      <w:pPr>
        <w:numPr>
          <w:ilvl w:val="0"/>
          <w:numId w:val="4"/>
        </w:numPr>
        <w:spacing w:after="0" w:afterAutospacing="0" w:lineRule="auto"/>
        <w:ind w:left="720" w:hanging="360"/>
        <w:rPr/>
      </w:pPr>
      <w:r w:rsidDel="00000000" w:rsidR="00000000" w:rsidRPr="00000000">
        <w:rPr>
          <w:color w:val="1d2833"/>
          <w:sz w:val="21"/>
          <w:szCs w:val="21"/>
          <w:rtl w:val="0"/>
        </w:rPr>
        <w:t xml:space="preserve">Embrace shift-left development: Utilize virtual targets and model-based systems engineering (MBSE) to test and validate software continuously from the earliest stages.</w:t>
      </w:r>
    </w:p>
    <w:p w:rsidR="00000000" w:rsidDel="00000000" w:rsidP="00000000" w:rsidRDefault="00000000" w:rsidRPr="00000000" w14:paraId="00000022">
      <w:pPr>
        <w:numPr>
          <w:ilvl w:val="0"/>
          <w:numId w:val="4"/>
        </w:numPr>
        <w:spacing w:after="240" w:lineRule="auto"/>
        <w:ind w:left="720" w:hanging="360"/>
        <w:rPr/>
      </w:pPr>
      <w:r w:rsidDel="00000000" w:rsidR="00000000" w:rsidRPr="00000000">
        <w:rPr>
          <w:color w:val="1d2833"/>
          <w:sz w:val="21"/>
          <w:szCs w:val="21"/>
          <w:rtl w:val="0"/>
        </w:rPr>
        <w:t xml:space="preserve">Automate compliance and updates: Integrate tools for managing OTA updates, diagnostics and compliance with safety and security standards.</w:t>
        <w:br w:type="textWrapping"/>
      </w:r>
    </w:p>
    <w:p w:rsidR="00000000" w:rsidDel="00000000" w:rsidP="00000000" w:rsidRDefault="00000000" w:rsidRPr="00000000" w14:paraId="00000023">
      <w:pPr>
        <w:pStyle w:val="Heading2"/>
        <w:keepNext w:val="0"/>
        <w:keepLines w:val="0"/>
        <w:shd w:fill="ffffff" w:val="clear"/>
        <w:spacing w:after="80" w:before="0" w:line="288" w:lineRule="auto"/>
        <w:rPr>
          <w:color w:val="1d2833"/>
          <w:sz w:val="33"/>
          <w:szCs w:val="33"/>
        </w:rPr>
      </w:pPr>
      <w:bookmarkStart w:colFirst="0" w:colLast="0" w:name="_krdo2mfqetk7" w:id="5"/>
      <w:bookmarkEnd w:id="5"/>
      <w:r w:rsidDel="00000000" w:rsidR="00000000" w:rsidRPr="00000000">
        <w:rPr>
          <w:color w:val="1d2833"/>
          <w:sz w:val="33"/>
          <w:szCs w:val="33"/>
          <w:rtl w:val="0"/>
        </w:rPr>
        <w:t xml:space="preserve">Transform your approach to SDV development</w:t>
      </w:r>
    </w:p>
    <w:p w:rsidR="00000000" w:rsidDel="00000000" w:rsidP="00000000" w:rsidRDefault="00000000" w:rsidRPr="00000000" w14:paraId="00000024">
      <w:pPr>
        <w:shd w:fill="ffffff" w:val="clear"/>
        <w:spacing w:after="240" w:line="336" w:lineRule="auto"/>
        <w:rPr>
          <w:color w:val="1d2833"/>
          <w:sz w:val="21"/>
          <w:szCs w:val="21"/>
        </w:rPr>
      </w:pPr>
      <w:r w:rsidDel="00000000" w:rsidR="00000000" w:rsidRPr="00000000">
        <w:rPr>
          <w:color w:val="1d2833"/>
          <w:sz w:val="21"/>
          <w:szCs w:val="21"/>
          <w:rtl w:val="0"/>
        </w:rPr>
        <w:t xml:space="preserve">The era of the SDV is here, and it’s transforming the automotive world faster than ever. While integration challenges may seem daunting, the right approach can turn complexity into opportunity. At DXC, we believe the future belongs to innovators who embrace new ways of working and leverage the right tools built for this revolution.</w:t>
      </w:r>
    </w:p>
    <w:p w:rsidR="00000000" w:rsidDel="00000000" w:rsidP="00000000" w:rsidRDefault="00000000" w:rsidRPr="00000000" w14:paraId="00000025">
      <w:pPr>
        <w:shd w:fill="ffffff" w:val="clear"/>
        <w:spacing w:after="240" w:line="336" w:lineRule="auto"/>
        <w:rPr>
          <w:color w:val="1d2833"/>
          <w:sz w:val="21"/>
          <w:szCs w:val="21"/>
        </w:rPr>
      </w:pPr>
      <w:r w:rsidDel="00000000" w:rsidR="00000000" w:rsidRPr="00000000">
        <w:rPr>
          <w:color w:val="1d2833"/>
          <w:sz w:val="21"/>
          <w:szCs w:val="21"/>
          <w:rtl w:val="0"/>
        </w:rPr>
        <w:t xml:space="preserve">That’s why DXC is gearing up to launch a groundbreaking new software platform designed to empower carmakers to master SDV integration and unlock the full potential of connected, intelligent vehicles as a new way forward for the industry.</w:t>
      </w:r>
    </w:p>
    <w:p w:rsidR="00000000" w:rsidDel="00000000" w:rsidP="00000000" w:rsidRDefault="00000000" w:rsidRPr="00000000" w14:paraId="00000026">
      <w:pPr>
        <w:shd w:fill="ffffff" w:val="clear"/>
        <w:spacing w:after="240" w:line="336" w:lineRule="auto"/>
        <w:rPr>
          <w:color w:val="1d2833"/>
          <w:sz w:val="21"/>
          <w:szCs w:val="21"/>
        </w:rPr>
      </w:pPr>
      <w:r w:rsidDel="00000000" w:rsidR="00000000" w:rsidRPr="00000000">
        <w:rPr>
          <w:color w:val="1d2833"/>
          <w:sz w:val="21"/>
          <w:szCs w:val="21"/>
          <w:rtl w:val="0"/>
        </w:rPr>
        <w:t xml:space="preserve">Curious about what’s next? Visit our website for exclusive updates, expert insights and an early look at how DXC is shaping the next generation of connected vehicles. The road from software dream to reality is unfolding—be among the first to discover how you can drive the change.</w:t>
        <w:br w:type="textWrapping"/>
        <w:t xml:space="preserve"> </w:t>
      </w:r>
    </w:p>
    <w:p w:rsidR="00000000" w:rsidDel="00000000" w:rsidP="00000000" w:rsidRDefault="00000000" w:rsidRPr="00000000" w14:paraId="00000027">
      <w:pPr>
        <w:pStyle w:val="Heading3"/>
        <w:keepNext w:val="0"/>
        <w:keepLines w:val="0"/>
        <w:shd w:fill="ffffff" w:val="clear"/>
        <w:spacing w:before="0" w:line="288" w:lineRule="auto"/>
        <w:rPr>
          <w:color w:val="1d2833"/>
          <w:sz w:val="25"/>
          <w:szCs w:val="25"/>
        </w:rPr>
      </w:pPr>
      <w:bookmarkStart w:colFirst="0" w:colLast="0" w:name="_7zilw4ya843q" w:id="6"/>
      <w:bookmarkEnd w:id="6"/>
      <w:r w:rsidDel="00000000" w:rsidR="00000000" w:rsidRPr="00000000">
        <w:rPr>
          <w:color w:val="1d2833"/>
          <w:sz w:val="25"/>
          <w:szCs w:val="25"/>
          <w:rtl w:val="0"/>
        </w:rPr>
        <w:t xml:space="preserve">Key takeaways</w:t>
      </w:r>
    </w:p>
    <w:p w:rsidR="00000000" w:rsidDel="00000000" w:rsidP="00000000" w:rsidRDefault="00000000" w:rsidRPr="00000000" w14:paraId="00000028">
      <w:pPr>
        <w:numPr>
          <w:ilvl w:val="0"/>
          <w:numId w:val="3"/>
        </w:numPr>
        <w:spacing w:after="0" w:afterAutospacing="0" w:lineRule="auto"/>
        <w:ind w:left="720" w:hanging="360"/>
        <w:rPr/>
      </w:pPr>
      <w:r w:rsidDel="00000000" w:rsidR="00000000" w:rsidRPr="00000000">
        <w:rPr>
          <w:color w:val="1d2833"/>
          <w:sz w:val="21"/>
          <w:szCs w:val="21"/>
          <w:rtl w:val="0"/>
        </w:rPr>
        <w:t xml:space="preserve">Architectural constraints: Adapting legacy ECU-based architectures to support centralized, high-performance computing platforms.</w:t>
      </w:r>
    </w:p>
    <w:p w:rsidR="00000000" w:rsidDel="00000000" w:rsidP="00000000" w:rsidRDefault="00000000" w:rsidRPr="00000000" w14:paraId="00000029">
      <w:pPr>
        <w:numPr>
          <w:ilvl w:val="0"/>
          <w:numId w:val="3"/>
        </w:numPr>
        <w:spacing w:after="0" w:afterAutospacing="0" w:lineRule="auto"/>
        <w:ind w:left="720" w:hanging="360"/>
        <w:rPr/>
      </w:pPr>
      <w:r w:rsidDel="00000000" w:rsidR="00000000" w:rsidRPr="00000000">
        <w:rPr>
          <w:color w:val="1d2833"/>
          <w:sz w:val="21"/>
          <w:szCs w:val="21"/>
          <w:rtl w:val="0"/>
        </w:rPr>
        <w:t xml:space="preserve">Toolchain incompatibility: The absence of a standardized, end-to-end toolchain for modeling, coding, testing and validation forces teams to stitch together disparate solutions.</w:t>
      </w:r>
    </w:p>
    <w:p w:rsidR="00000000" w:rsidDel="00000000" w:rsidP="00000000" w:rsidRDefault="00000000" w:rsidRPr="00000000" w14:paraId="0000002A">
      <w:pPr>
        <w:numPr>
          <w:ilvl w:val="0"/>
          <w:numId w:val="3"/>
        </w:numPr>
        <w:spacing w:after="0" w:afterAutospacing="0" w:lineRule="auto"/>
        <w:ind w:left="720" w:hanging="360"/>
        <w:rPr/>
      </w:pPr>
      <w:r w:rsidDel="00000000" w:rsidR="00000000" w:rsidRPr="00000000">
        <w:rPr>
          <w:color w:val="1d2833"/>
          <w:sz w:val="21"/>
          <w:szCs w:val="21"/>
          <w:rtl w:val="0"/>
        </w:rPr>
        <w:t xml:space="preserve">Organizational silos: Separate software, hardware and safety teams hinder the collaborative, cross-functional approach necessary for integrated systems.</w:t>
      </w:r>
    </w:p>
    <w:p w:rsidR="00000000" w:rsidDel="00000000" w:rsidP="00000000" w:rsidRDefault="00000000" w:rsidRPr="00000000" w14:paraId="0000002B">
      <w:pPr>
        <w:numPr>
          <w:ilvl w:val="0"/>
          <w:numId w:val="3"/>
        </w:numPr>
        <w:spacing w:after="0" w:afterAutospacing="0" w:lineRule="auto"/>
        <w:ind w:left="720" w:hanging="360"/>
        <w:rPr/>
      </w:pPr>
      <w:r w:rsidDel="00000000" w:rsidR="00000000" w:rsidRPr="00000000">
        <w:rPr>
          <w:color w:val="1d2833"/>
          <w:sz w:val="21"/>
          <w:szCs w:val="21"/>
          <w:rtl w:val="0"/>
        </w:rPr>
        <w:t xml:space="preserve">Safety and security compliance: Ensuring functional safety (ISO 26262) and cybersecurity across an increasingly complex and interconnected software stack is a monumental task.</w:t>
      </w:r>
    </w:p>
    <w:p w:rsidR="00000000" w:rsidDel="00000000" w:rsidP="00000000" w:rsidRDefault="00000000" w:rsidRPr="00000000" w14:paraId="0000002C">
      <w:pPr>
        <w:numPr>
          <w:ilvl w:val="0"/>
          <w:numId w:val="3"/>
        </w:numPr>
        <w:spacing w:after="240" w:lineRule="auto"/>
        <w:ind w:left="720" w:hanging="360"/>
        <w:rPr/>
      </w:pPr>
      <w:r w:rsidDel="00000000" w:rsidR="00000000" w:rsidRPr="00000000">
        <w:rPr>
          <w:color w:val="1d2833"/>
          <w:sz w:val="21"/>
          <w:szCs w:val="21"/>
          <w:rtl w:val="0"/>
        </w:rPr>
        <w:t xml:space="preserve">Data management at scale: Vehicles with automated driving capabilities generate terabytes of data. Creating efficient data pipelines to process and manage this information is a critical, yet often underestimated, challenge.</w:t>
      </w:r>
    </w:p>
    <w:p w:rsidR="00000000" w:rsidDel="00000000" w:rsidP="00000000" w:rsidRDefault="00000000" w:rsidRPr="00000000" w14:paraId="0000002D">
      <w:pPr>
        <w:shd w:fill="ffffff" w:val="clear"/>
        <w:spacing w:after="240" w:before="360" w:line="336" w:lineRule="auto"/>
        <w:rPr>
          <w:color w:val="1d2833"/>
          <w:sz w:val="21"/>
          <w:szCs w:val="21"/>
        </w:rPr>
      </w:pPr>
      <w:r w:rsidDel="00000000" w:rsidR="00000000" w:rsidRPr="00000000">
        <w:rPr>
          <w:color w:val="1d2833"/>
          <w:sz w:val="21"/>
          <w:szCs w:val="21"/>
          <w:rtl w:val="0"/>
        </w:rPr>
        <w:t xml:space="preserve">With the right architecture and mindset, CTOs, system architects and innovation leaders can master the integration complexity and deliver on the full promise of the software-defined vehicle. Connect with our experts today to learn how.</w:t>
      </w:r>
    </w:p>
    <w:p w:rsidR="00000000" w:rsidDel="00000000" w:rsidP="00000000" w:rsidRDefault="00000000" w:rsidRPr="00000000" w14:paraId="0000002E">
      <w:pPr>
        <w:rPr>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d28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d28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d28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d28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