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Verdana" w:cs="Verdana" w:eastAsia="Verdana" w:hAnsi="Verdana"/>
          <w:color w:val="1a1a1a"/>
          <w:sz w:val="24"/>
          <w:szCs w:val="24"/>
          <w:highlight w:val="white"/>
        </w:rPr>
      </w:pPr>
      <w:r w:rsidDel="00000000" w:rsidR="00000000" w:rsidRPr="00000000">
        <w:rPr>
          <w:rtl w:val="0"/>
        </w:rPr>
      </w:r>
    </w:p>
    <w:p w:rsidR="00000000" w:rsidDel="00000000" w:rsidP="00000000" w:rsidRDefault="00000000" w:rsidRPr="00000000" w14:paraId="00000002">
      <w:pPr>
        <w:shd w:fill="ffffff" w:val="clear"/>
        <w:spacing w:after="240" w:line="428.13741176470586" w:lineRule="auto"/>
        <w:rPr>
          <w:rFonts w:ascii="Roboto" w:cs="Roboto" w:eastAsia="Roboto" w:hAnsi="Roboto"/>
          <w:sz w:val="34"/>
          <w:szCs w:val="34"/>
          <w:highlight w:val="white"/>
        </w:rPr>
      </w:pPr>
      <w:r w:rsidDel="00000000" w:rsidR="00000000" w:rsidRPr="00000000">
        <w:rPr>
          <w:rFonts w:ascii="Roboto" w:cs="Roboto" w:eastAsia="Roboto" w:hAnsi="Roboto"/>
          <w:sz w:val="34"/>
          <w:szCs w:val="34"/>
          <w:highlight w:val="white"/>
          <w:rtl w:val="0"/>
        </w:rPr>
        <w:t xml:space="preserve">MUMBAI, December 19, 2025: </w:t>
      </w:r>
      <w:hyperlink r:id="rId6">
        <w:r w:rsidDel="00000000" w:rsidR="00000000" w:rsidRPr="00000000">
          <w:rPr>
            <w:rFonts w:ascii="Roboto" w:cs="Roboto" w:eastAsia="Roboto" w:hAnsi="Roboto"/>
            <w:sz w:val="34"/>
            <w:szCs w:val="34"/>
            <w:highlight w:val="white"/>
            <w:rtl w:val="0"/>
          </w:rPr>
          <w:t xml:space="preserve">Tata Consultancy Services</w:t>
        </w:r>
      </w:hyperlink>
      <w:r w:rsidDel="00000000" w:rsidR="00000000" w:rsidRPr="00000000">
        <w:rPr>
          <w:rFonts w:ascii="Roboto" w:cs="Roboto" w:eastAsia="Roboto" w:hAnsi="Roboto"/>
          <w:sz w:val="34"/>
          <w:szCs w:val="34"/>
          <w:highlight w:val="white"/>
          <w:rtl w:val="0"/>
        </w:rPr>
        <w:t xml:space="preserve"> (TCS) a global leader in IT services, consulting, and business solutions, has announced a major AI upgrade to its flagship TCS BaNCS platform with the launch of a new, advanced AI core design to supercharge innovation for banks and security services companies – TCS BaNCS AI Compass. The new tool integrates machine learning, deep learning, generative AI, and a suite of pre-built intelligent agents to help banks and financial institutions to leverage AI to optimise and augment their existing capabilities, providing actionable insights for improved operational excellence and robust risk management. </w:t>
      </w:r>
    </w:p>
    <w:p w:rsidR="00000000" w:rsidDel="00000000" w:rsidP="00000000" w:rsidRDefault="00000000" w:rsidRPr="00000000" w14:paraId="00000003">
      <w:pPr>
        <w:shd w:fill="ffffff" w:val="clear"/>
        <w:spacing w:after="240" w:line="481.6545882352942" w:lineRule="auto"/>
        <w:rPr>
          <w:rFonts w:ascii="Roboto" w:cs="Roboto" w:eastAsia="Roboto" w:hAnsi="Roboto"/>
          <w:sz w:val="34"/>
          <w:szCs w:val="34"/>
          <w:highlight w:val="white"/>
        </w:rPr>
      </w:pPr>
      <w:r w:rsidDel="00000000" w:rsidR="00000000" w:rsidRPr="00000000">
        <w:rPr>
          <w:rFonts w:ascii="Roboto" w:cs="Roboto" w:eastAsia="Roboto" w:hAnsi="Roboto"/>
          <w:sz w:val="34"/>
          <w:szCs w:val="34"/>
          <w:highlight w:val="white"/>
          <w:rtl w:val="0"/>
        </w:rPr>
        <w:t xml:space="preserve">Designed especially for decision-makers overseeing technology, TCS BaNCS AI Compass will help customers drive the adoption of responsible and traceable AI process (Explainable AI), streamline workflows, and unlock new growth opportunities. Using its intuitive no-code, configurable interface, teams can quickly build, train, test, and deploy AI agents. This AI upgrade works seamlessly across banking, securities and wealth management lines of businesses.</w:t>
      </w:r>
    </w:p>
    <w:p w:rsidR="00000000" w:rsidDel="00000000" w:rsidP="00000000" w:rsidRDefault="00000000" w:rsidRPr="00000000" w14:paraId="00000004">
      <w:pPr>
        <w:shd w:fill="ffffff" w:val="clear"/>
        <w:spacing w:after="240" w:line="481.6545882352942" w:lineRule="auto"/>
        <w:rPr>
          <w:rFonts w:ascii="Roboto" w:cs="Roboto" w:eastAsia="Roboto" w:hAnsi="Roboto"/>
          <w:sz w:val="34"/>
          <w:szCs w:val="34"/>
          <w:highlight w:val="white"/>
        </w:rPr>
      </w:pPr>
      <w:r w:rsidDel="00000000" w:rsidR="00000000" w:rsidRPr="00000000">
        <w:rPr>
          <w:rFonts w:ascii="Roboto" w:cs="Roboto" w:eastAsia="Roboto" w:hAnsi="Roboto"/>
          <w:sz w:val="34"/>
          <w:szCs w:val="34"/>
          <w:highlight w:val="white"/>
          <w:rtl w:val="0"/>
        </w:rPr>
        <w:t xml:space="preserve">Jennifer Smith, Executive Vice-President and Chief Technology Officer, Zions Bancorporation, said, “</w:t>
      </w:r>
      <w:r w:rsidDel="00000000" w:rsidR="00000000" w:rsidRPr="00000000">
        <w:rPr>
          <w:rFonts w:ascii="Roboto" w:cs="Roboto" w:eastAsia="Roboto" w:hAnsi="Roboto"/>
          <w:i w:val="1"/>
          <w:iCs w:val="1"/>
          <w:sz w:val="34"/>
          <w:szCs w:val="34"/>
          <w:highlight w:val="white"/>
          <w:rtl w:val="0"/>
        </w:rPr>
        <w:t xml:space="preserve">We see a strong vision in TCS BaNCS AI Compass and are encouraged by how it could help our TCS BaNCS users apply AI in practical ways—making their work more efficient and helping manage risk more effectively.</w:t>
      </w:r>
      <w:r w:rsidDel="00000000" w:rsidR="00000000" w:rsidRPr="00000000">
        <w:rPr>
          <w:rFonts w:ascii="Roboto" w:cs="Roboto" w:eastAsia="Roboto" w:hAnsi="Roboto"/>
          <w:sz w:val="34"/>
          <w:szCs w:val="34"/>
          <w:highlight w:val="white"/>
          <w:rtl w:val="0"/>
        </w:rPr>
        <w:t xml:space="preserve">”</w:t>
      </w:r>
    </w:p>
    <w:p w:rsidR="00000000" w:rsidDel="00000000" w:rsidP="00000000" w:rsidRDefault="00000000" w:rsidRPr="00000000" w14:paraId="00000005">
      <w:pPr>
        <w:shd w:fill="ffffff" w:val="clear"/>
        <w:spacing w:after="240" w:line="481.6545882352942" w:lineRule="auto"/>
        <w:rPr>
          <w:rFonts w:ascii="Roboto" w:cs="Roboto" w:eastAsia="Roboto" w:hAnsi="Roboto"/>
          <w:sz w:val="34"/>
          <w:szCs w:val="34"/>
          <w:highlight w:val="white"/>
        </w:rPr>
      </w:pPr>
      <w:r w:rsidDel="00000000" w:rsidR="00000000" w:rsidRPr="00000000">
        <w:rPr>
          <w:rFonts w:ascii="Roboto" w:cs="Roboto" w:eastAsia="Roboto" w:hAnsi="Roboto"/>
          <w:sz w:val="34"/>
          <w:szCs w:val="34"/>
          <w:highlight w:val="white"/>
          <w:rtl w:val="0"/>
        </w:rPr>
        <w:t xml:space="preserve">In banking, TCS BaNCS’ pre-built agents support a wide range of use cases such as onboarding, credit underwriting, and tailored query resolution across multiple channels. Customers in securities services can use the AI engine to prepare enterprises to leverage AI to augment human decision-making. For example, to predict the tax treatment of payouts, distinguish between dividend and interest classification, detect missing data in events and streamline the ingestion and interpretation of complex documents. The solution also delivers contextual assistance, automates responses, and enhances service delivery across digital platforms.</w:t>
      </w:r>
    </w:p>
    <w:p w:rsidR="00000000" w:rsidDel="00000000" w:rsidP="00000000" w:rsidRDefault="00000000" w:rsidRPr="00000000" w14:paraId="00000006">
      <w:pPr>
        <w:shd w:fill="ffffff" w:val="clear"/>
        <w:spacing w:after="240" w:line="481.6545882352942" w:lineRule="auto"/>
        <w:rPr>
          <w:rFonts w:ascii="Roboto" w:cs="Roboto" w:eastAsia="Roboto" w:hAnsi="Roboto"/>
          <w:sz w:val="34"/>
          <w:szCs w:val="34"/>
          <w:highlight w:val="white"/>
        </w:rPr>
      </w:pPr>
      <w:r w:rsidDel="00000000" w:rsidR="00000000" w:rsidRPr="00000000">
        <w:rPr>
          <w:rFonts w:ascii="Roboto" w:cs="Roboto" w:eastAsia="Roboto" w:hAnsi="Roboto"/>
          <w:sz w:val="34"/>
          <w:szCs w:val="34"/>
          <w:highlight w:val="white"/>
          <w:rtl w:val="0"/>
        </w:rPr>
        <w:t xml:space="preserve">Venkateshwaran Srinivasan - Global Head, Financial Solutions, TCS, said, “</w:t>
      </w:r>
      <w:r w:rsidDel="00000000" w:rsidR="00000000" w:rsidRPr="00000000">
        <w:rPr>
          <w:rFonts w:ascii="Roboto" w:cs="Roboto" w:eastAsia="Roboto" w:hAnsi="Roboto"/>
          <w:i w:val="1"/>
          <w:iCs w:val="1"/>
          <w:sz w:val="34"/>
          <w:szCs w:val="34"/>
          <w:highlight w:val="white"/>
          <w:rtl w:val="0"/>
        </w:rPr>
        <w:t xml:space="preserve">Today marks an exciting milestone for TCS as we introduce TCS BaNCS AI Compass to our customers. Our vision is to unlock greater value for our customers through AI agents tailor-made for multiple use cases across the transaction life cycle of our solutions. Our primary focus is on making AI integral to TCS BaNCS, enhancing operational efficiency and helping our customers manage risk effectively while prioritising robust governance, transparency and responsible AI practices. We are committed to helping our customers shape the future of intelligent, customer-centric financial services.</w:t>
      </w:r>
      <w:r w:rsidDel="00000000" w:rsidR="00000000" w:rsidRPr="00000000">
        <w:rPr>
          <w:rFonts w:ascii="Roboto" w:cs="Roboto" w:eastAsia="Roboto" w:hAnsi="Roboto"/>
          <w:sz w:val="34"/>
          <w:szCs w:val="34"/>
          <w:highlight w:val="white"/>
          <w:rtl w:val="0"/>
        </w:rPr>
        <w:t xml:space="preserve">”</w:t>
      </w:r>
    </w:p>
    <w:p w:rsidR="00000000" w:rsidDel="00000000" w:rsidP="00000000" w:rsidRDefault="00000000" w:rsidRPr="00000000" w14:paraId="00000007">
      <w:pPr>
        <w:shd w:fill="ffffff" w:val="clear"/>
        <w:spacing w:after="240" w:line="481.6545882352942" w:lineRule="auto"/>
        <w:rPr>
          <w:rFonts w:ascii="Roboto" w:cs="Roboto" w:eastAsia="Roboto" w:hAnsi="Roboto"/>
          <w:sz w:val="34"/>
          <w:szCs w:val="34"/>
          <w:highlight w:val="white"/>
        </w:rPr>
      </w:pPr>
      <w:r w:rsidDel="00000000" w:rsidR="00000000" w:rsidRPr="00000000">
        <w:rPr>
          <w:rFonts w:ascii="Roboto" w:cs="Roboto" w:eastAsia="Roboto" w:hAnsi="Roboto"/>
          <w:sz w:val="34"/>
          <w:szCs w:val="34"/>
          <w:highlight w:val="white"/>
          <w:rtl w:val="0"/>
        </w:rPr>
        <w:t xml:space="preserve">Firmly resting on strong compliance and governance frameworks, the solution includes built-in guardrails and audit logging to ensure that its AI interactions meet enterprise standards. The tool is designed to allow human users to understand and trust outputs. As a result, stakeholders can follow the AI decision-making logic through a transparent model. Systematic bias testing and traceable workflows ensure accountability and transparency. Data lineage and strict process controls are enforced in all areas. Privacy by design is integrated at every stage.</w:t>
      </w:r>
    </w:p>
    <w:p w:rsidR="00000000" w:rsidDel="00000000" w:rsidP="00000000" w:rsidRDefault="00000000" w:rsidRPr="00000000" w14:paraId="00000008">
      <w:pPr>
        <w:shd w:fill="ffffff" w:val="clear"/>
        <w:spacing w:after="240" w:line="481.6545882352942" w:lineRule="auto"/>
        <w:rPr>
          <w:rFonts w:ascii="Roboto" w:cs="Roboto" w:eastAsia="Roboto" w:hAnsi="Roboto"/>
          <w:sz w:val="34"/>
          <w:szCs w:val="34"/>
          <w:highlight w:val="white"/>
        </w:rPr>
      </w:pPr>
      <w:r w:rsidDel="00000000" w:rsidR="00000000" w:rsidRPr="00000000">
        <w:rPr>
          <w:rFonts w:ascii="Roboto" w:cs="Roboto" w:eastAsia="Roboto" w:hAnsi="Roboto"/>
          <w:sz w:val="34"/>
          <w:szCs w:val="34"/>
          <w:highlight w:val="white"/>
          <w:rtl w:val="0"/>
        </w:rPr>
        <w:t xml:space="preserve">The integration of TCS BaNCS AI Compass into the existing TCS BaNCS product suite reflects the organisation’s commitment to lead enterprises into the AI era with a mosaic of solutions that can seamlessly augment human insight with algorithms. This approach aligns with TCS’ future of work vision, which prioritises human-centric AI. Human-centric AI enables enterprises to design solutions that are intuitive, adaptable, and aligned with real business needs. The infusion of AI into TCS BaNCS advances TCS’ vision to become the world’s leading AI-driven services company. By embedding AI into products and solutions, TCS continues to help global enterprises unlock greater business value, make smarter decisions, and drive sustainable growth in a rapidly evolving digital landscape. </w:t>
      </w:r>
    </w:p>
    <w:p w:rsidR="00000000" w:rsidDel="00000000" w:rsidP="00000000" w:rsidRDefault="00000000" w:rsidRPr="00000000" w14:paraId="00000009">
      <w:pPr>
        <w:pStyle w:val="Heading2"/>
        <w:keepNext w:val="0"/>
        <w:keepLines w:val="0"/>
        <w:shd w:fill="ffffff" w:val="clear"/>
        <w:spacing w:after="80" w:before="0" w:lineRule="auto"/>
        <w:rPr>
          <w:rFonts w:ascii="Roboto" w:cs="Roboto" w:eastAsia="Roboto" w:hAnsi="Roboto"/>
          <w:sz w:val="46"/>
          <w:szCs w:val="46"/>
          <w:highlight w:val="white"/>
        </w:rPr>
      </w:pPr>
      <w:bookmarkStart w:colFirst="0" w:colLast="0" w:name="_gc7gjrn3ika2" w:id="0"/>
      <w:bookmarkEnd w:id="0"/>
      <w:r w:rsidDel="00000000" w:rsidR="00000000" w:rsidRPr="00000000">
        <w:rPr>
          <w:rFonts w:ascii="Roboto" w:cs="Roboto" w:eastAsia="Roboto" w:hAnsi="Roboto"/>
          <w:sz w:val="46"/>
          <w:szCs w:val="46"/>
          <w:highlight w:val="white"/>
          <w:rtl w:val="0"/>
        </w:rPr>
        <w:t xml:space="preserve">TATA CONSULTANCY SERVICES (TCS)</w:t>
      </w:r>
    </w:p>
    <w:p w:rsidR="00000000" w:rsidDel="00000000" w:rsidP="00000000" w:rsidRDefault="00000000" w:rsidRPr="00000000" w14:paraId="0000000A">
      <w:pPr>
        <w:shd w:fill="ffffff" w:val="clear"/>
        <w:spacing w:after="240" w:line="481.6545882352942" w:lineRule="auto"/>
        <w:rPr>
          <w:rFonts w:ascii="Roboto" w:cs="Roboto" w:eastAsia="Roboto" w:hAnsi="Roboto"/>
          <w:sz w:val="34"/>
          <w:szCs w:val="34"/>
          <w:highlight w:val="white"/>
        </w:rPr>
      </w:pPr>
      <w:r w:rsidDel="00000000" w:rsidR="00000000" w:rsidRPr="00000000">
        <w:rPr>
          <w:rFonts w:ascii="Roboto" w:cs="Roboto" w:eastAsia="Roboto" w:hAnsi="Roboto"/>
          <w:sz w:val="34"/>
          <w:szCs w:val="34"/>
          <w:highlight w:val="white"/>
          <w:rtl w:val="0"/>
        </w:rPr>
        <w:t xml:space="preserve">Tata Consultancy Services (TCS) (BSE: 532540, NSE: TCS) is a digital transformation and technology partner of choice for industry-leading organizations worldwide. Since its inception in 1968, TCS has upheld the highest standards of innovation, engineering excellence and customer service.</w:t>
      </w:r>
    </w:p>
    <w:p w:rsidR="00000000" w:rsidDel="00000000" w:rsidP="00000000" w:rsidRDefault="00000000" w:rsidRPr="00000000" w14:paraId="0000000B">
      <w:pPr>
        <w:shd w:fill="ffffff" w:val="clear"/>
        <w:spacing w:after="240" w:line="481.6545882352942" w:lineRule="auto"/>
        <w:rPr>
          <w:rFonts w:ascii="Roboto" w:cs="Roboto" w:eastAsia="Roboto" w:hAnsi="Roboto"/>
          <w:sz w:val="34"/>
          <w:szCs w:val="34"/>
          <w:highlight w:val="white"/>
        </w:rPr>
      </w:pPr>
      <w:r w:rsidDel="00000000" w:rsidR="00000000" w:rsidRPr="00000000">
        <w:rPr>
          <w:rFonts w:ascii="Roboto" w:cs="Roboto" w:eastAsia="Roboto" w:hAnsi="Roboto"/>
          <w:sz w:val="34"/>
          <w:szCs w:val="34"/>
          <w:highlight w:val="white"/>
          <w:rtl w:val="0"/>
        </w:rPr>
        <w:t xml:space="preserve">Rooted in the heritage of the Tata Group, TCS is focused on creating long term value for its clients, its investors, its employees, and the community at large. With a highly skilled workforce of 590,000 spread across 55 countries and 202 service delivery centers across the world, the company has been recognized as a top employer in six continents. With the ability to rapidly apply and scale new technologies, the company has built long term partnerships with its clients – helping them emerge as perpetually adaptive enterprises. Many of these relationships have endured into decades and navigated every technology cycle, from mainframes in the 1970s to Artificial Intelligence today.</w:t>
      </w:r>
    </w:p>
    <w:p w:rsidR="00000000" w:rsidDel="00000000" w:rsidP="00000000" w:rsidRDefault="00000000" w:rsidRPr="00000000" w14:paraId="0000000C">
      <w:pPr>
        <w:shd w:fill="ffffff" w:val="clear"/>
        <w:spacing w:after="240" w:line="481.6545882352942" w:lineRule="auto"/>
        <w:rPr>
          <w:rFonts w:ascii="Roboto" w:cs="Roboto" w:eastAsia="Roboto" w:hAnsi="Roboto"/>
          <w:sz w:val="34"/>
          <w:szCs w:val="34"/>
          <w:highlight w:val="white"/>
        </w:rPr>
      </w:pPr>
      <w:r w:rsidDel="00000000" w:rsidR="00000000" w:rsidRPr="00000000">
        <w:rPr>
          <w:rFonts w:ascii="Roboto" w:cs="Roboto" w:eastAsia="Roboto" w:hAnsi="Roboto"/>
          <w:sz w:val="34"/>
          <w:szCs w:val="34"/>
          <w:highlight w:val="white"/>
          <w:rtl w:val="0"/>
        </w:rPr>
        <w:t xml:space="preserve">TCS sponsors 14 of the world’s most prestigious marathons and endurance events, including the TCS New York City Marathon, TCS London Marathon and TCS Sydney Marathon with a focus on promoting health, sustainability, and community empowerment.</w:t>
      </w:r>
    </w:p>
    <w:p w:rsidR="00000000" w:rsidDel="00000000" w:rsidP="00000000" w:rsidRDefault="00000000" w:rsidRPr="00000000" w14:paraId="0000000D">
      <w:pPr>
        <w:shd w:fill="ffffff" w:val="clear"/>
        <w:spacing w:after="240" w:line="481.6545882352942" w:lineRule="auto"/>
        <w:rPr>
          <w:rFonts w:ascii="Roboto" w:cs="Roboto" w:eastAsia="Roboto" w:hAnsi="Roboto"/>
          <w:sz w:val="34"/>
          <w:szCs w:val="34"/>
          <w:highlight w:val="white"/>
        </w:rPr>
      </w:pPr>
      <w:r w:rsidDel="00000000" w:rsidR="00000000" w:rsidRPr="00000000">
        <w:rPr>
          <w:rFonts w:ascii="Roboto" w:cs="Roboto" w:eastAsia="Roboto" w:hAnsi="Roboto"/>
          <w:sz w:val="34"/>
          <w:szCs w:val="34"/>
          <w:highlight w:val="white"/>
          <w:rtl w:val="0"/>
        </w:rPr>
        <w:t xml:space="preserve">TCS generated consolidated revenues of over US $30 billion in the fiscal year ended March 31, 2025.</w:t>
      </w:r>
    </w:p>
    <w:p w:rsidR="00000000" w:rsidDel="00000000" w:rsidP="00000000" w:rsidRDefault="00000000" w:rsidRPr="00000000" w14:paraId="0000000E">
      <w:pPr>
        <w:rPr>
          <w:rFonts w:ascii="Verdana" w:cs="Verdana" w:eastAsia="Verdana" w:hAnsi="Verdana"/>
          <w:color w:val="1a1a1a"/>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c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