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Wipro and Google Cloud Expand their Strategic Partnership to Advance Enterprise Productivity</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Wipro Limited (NYSE: WIT, BSE: 507685, NSE: WIPRO), a leading AI-powered technology services and consulting company, is expanding its longstanding partnership with Google Cloud to enhance enterprise productivity and drive global digital transformation with Gemini Enterprise.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Wipro Intelligence™*, the unified suite of AI-powered platforms, solutions and transformative offerings, anchors Wipro’s “Client Zero” approach, with the company first deploying and validating solutions and innovations internally to ensure they are optimized and enterprise-ready before client rollout. As part of this strategy, Wipro is implementing Gemini Enterprise across its core corporate functions, including finance, human resources, sales, delivery, and customer support to accelerate decision-making, enhance operational efficiency, and improve employee experience.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Gemini Enterprise is Google Cloud’s next generation agentic AI platform, and the new front door to AI in the workplace. Powered by Google’s world-class Gemini models, it provides an intuitive conversational interface that enables employees to interact with and analyze company data and applications and build no-code AI agents with enterprise-grade security and controls using natural language.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addition to the internal adoption of Gemini Enterprise across its global operations, Wipro will leverage its deep industry expertise, consulting-led approach, and the Wipro Intelligence™ suite to enable joint enterprise customers to transition from fragmented AI pilots to secure, production-ready agentic solutions at scale.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Towards this partnership outlook, Matt Renner, President and Chief Revenue Officer at Google Cloud, recently inaugurated the Google Cloud Gemini Experience Zone at Wipro’s Partner Labs – a cornerstone of Wipro Intelligence™ – at the Kodathi campus in Bengaluru. This cutting-edge zone offers hands-on access to joint Google Cloud solutions, and showcases more than 200 production-ready AI agents across industries such as Healthcare, Banking, Insurance, Retail, Communications, and Manufacturing.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“Wipro’s commitment to innovation and enterprise transformation, powered by Gemini Enterprise, reflects a bold vision and long-term dedication to driving industry leadership and strategic impact,” said Matt Renner, President and Chief Revenue Officer, Google Cloud. “Through our expanded partnership, we are moving customers beyond experimental AI pilots to real-world outcomes, thereby delivering production-ready AI agents that create measurable business value.”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Sanjeev Jain, Chief Operating Officer, Wipro Limited, said, “By deploying Gemini Enterprise at scale across our operations, we are deepening our partnership with Google Cloud to reimagine the future of work, and setting a global benchmark for responsible AI adoption. This AI-powered transformation, with Wipro Intelligence™ at the core, will drive efficiency, agility, and growth – positioning Wipro and our clients to lead the next wave of enterprise innovation.”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*Wipro Intelligence™ is Wipro’s unified suite of AI-powered platforms, solutions, and transformative offerings, designed to empower enterprises to scale with confidence and lead in an AI-first world. The Wipro Innovation Network is an integral part of Wipro Intelligence™, bringing together Wipro's innovation labs, partner labs, AI-native partners, Wipro Ventures, Topcoder, research &amp; academia, as well as deep-tech talent to harness frontier technologies such as Agentic AI, Embodied AI, and Quantum Computing to co-innovate with clients and bring Wipro Intelligence™ to life.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About Wipro Limited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Wipro Limited (NYSE: WIT, BSE: 507685, NSE: WIPRO) is a leading AI-powered technology services and consulting company focused on building innovative solutions that address clients’ most complex digital transformation needs. Leveraging our consulting-led approach and the Wipro Intelligence™ unified suite of AI-powered platforms, solutions and transformative offerings, we help clients realize their boldest ambitions to build intelligent and sustainable businesses.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Wipro Innovation Network – part of the Wipro Intelligence™ suite – underpins our commitment to client-centric co-innovation and co-creation by bringing together capabilities from the innovation labs and partner labs, academia, and global tech communities.  With over 230,000 employees and business partners across 65 countries, we deliver on the promise of helping our customers, colleagues, and communities thrive in an ever-changing world. For additional information, visit us at  www.wipro.com.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Forward-Looking Statements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forward-looking statements contained herein represent Wipro’s beliefs regarding future events, many of which are by their nature, inherently uncertain and outside Wipro’s control. Such statements include, but are not limited to, statements regarding Wipro’s growth prospects, its future financial operating results, and its plans, expectations and intentions. Wipro cautions readers that the forward-looking statements contained herein are subject to risks and uncertainties that could cause actual results to differ materially from the results anticipated by such statements. Such risks and uncertainties include, but are not limited to, risks and uncertainties regarding fluctuations in our earnings, revenue and profits, our ability to generate and manage growth, complete proposed corporate actions, intense competition in IT services, our ability to maintain our cost advantage, wage increases in India, our ability to attract and retain highly skilled professionals, time and cost overruns on fixed-price, fixed-time frame contracts, client concentration, restrictions on immigration, our ability to manage our international operations, reduced demand for technology in our key focus areas, disruptions in telecommunication networks, our ability to successfully complete and integrate potential acquisitions, liability for damages on our service contracts, the success of the companies in which we make strategic investments, withdrawal of fiscal governmental incentives, political instability, war, legal restrictions on raising capital or acquiring companies outside India, unauthorized use of our intellectual property and general economic conditions affecting our business and industry.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Additional risks that could affect our future operating results are more fully described in our filings with the United States Securities and Exchange Commission, including, but not limited to, Annual Reports on Form 20-F. These filings are available at www.sec.gov. We may, from time to time, make additional written and oral forward-looking statements, including statements contained in the company’s filings with the Securities and Exchange Commission and our reports to shareholders. We do not undertake to update any forward-looking statement that may be made from time to time by us or on our behalf.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