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>计算机网络实验一：数据链路层滑动窗口协议实验报告正文</w:t>
      </w:r>
    </w:p>
    <w:p>
      <w:pPr>
        <w:pStyle w:val="Heading1"/>
      </w:pPr>
      <w:r>
        <w:t>1. 实验内容和实验环境</w:t>
      </w:r>
    </w:p>
    <w:p>
      <w:r>
        <w:t>本实验在给定仿真平台上实现数据链路层滑动窗口协议，在 8000bps 全双工卫星信道、270ms 单向传播时延、默认误码率 1e-5 的环境中，为网络层提供无差错双工通信。网络层分组长度固定为 256 字节。</w:t>
      </w:r>
    </w:p>
    <w:p>
      <w:r>
        <w:t>本项目实现两种协议：默认运行 Selective Repeat ARQ（SR）；命令行加入 --gbn 或 --protocol=gbn 后运行 Go-Back-N ARQ 对照版本。两种协议均支持 CRC32 检错、捎带确认、ACK 定时器和全双工通信。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项目</w:t>
            </w:r>
          </w:p>
        </w:tc>
        <w:tc>
          <w:tcPr>
            <w:tcW w:type="dxa" w:w="4968"/>
          </w:tcPr>
          <w:p>
            <w:r>
              <w:t>内容</w:t>
            </w:r>
          </w:p>
        </w:tc>
      </w:tr>
      <w:tr>
        <w:tc>
          <w:tcPr>
            <w:tcW w:type="dxa" w:w="4968"/>
          </w:tcPr>
          <w:p>
            <w:r>
              <w:t>开发环境</w:t>
            </w:r>
          </w:p>
        </w:tc>
        <w:tc>
          <w:tcPr>
            <w:tcW w:type="dxa" w:w="4968"/>
          </w:tcPr>
          <w:p>
            <w:r>
              <w:t>Windows + Visual Studio / MSVC，命令行双进程运行 A、B 两站</w:t>
            </w:r>
          </w:p>
        </w:tc>
      </w:tr>
      <w:tr>
        <w:tc>
          <w:tcPr>
            <w:tcW w:type="dxa" w:w="4968"/>
          </w:tcPr>
          <w:p>
            <w:r>
              <w:t>核心源码</w:t>
            </w:r>
          </w:p>
        </w:tc>
        <w:tc>
          <w:tcPr>
            <w:tcW w:type="dxa" w:w="4968"/>
          </w:tcPr>
          <w:p>
            <w:r>
              <w:t>datalink.c、datalink.h</w:t>
            </w:r>
          </w:p>
        </w:tc>
      </w:tr>
      <w:tr>
        <w:tc>
          <w:tcPr>
            <w:tcW w:type="dxa" w:w="4968"/>
          </w:tcPr>
          <w:p>
            <w:r>
              <w:t>库接口</w:t>
            </w:r>
          </w:p>
        </w:tc>
        <w:tc>
          <w:tcPr>
            <w:tcW w:type="dxa" w:w="4968"/>
          </w:tcPr>
          <w:p>
            <w:r>
              <w:t>protocol_init、wait_for_event、send_frame、recv_frame、get_packet、put_packet、start_timer、start_ack_timer</w:t>
            </w:r>
          </w:p>
        </w:tc>
      </w:tr>
      <w:tr>
        <w:tc>
          <w:tcPr>
            <w:tcW w:type="dxa" w:w="4968"/>
          </w:tcPr>
          <w:p>
            <w:r>
              <w:t>正式运行</w:t>
            </w:r>
          </w:p>
        </w:tc>
        <w:tc>
          <w:tcPr>
            <w:tcW w:type="dxa" w:w="4968"/>
          </w:tcPr>
          <w:p>
            <w:r>
              <w:t>datalink.exe 默认 SR；datalink.exe --gbn 切换 GBN</w:t>
            </w:r>
          </w:p>
        </w:tc>
      </w:tr>
    </w:tbl>
    <w:p>
      <w:pPr>
        <w:pStyle w:val="Heading1"/>
      </w:pPr>
      <w:r>
        <w:t>2. 软件设计</w:t>
      </w:r>
    </w:p>
    <w:p>
      <w:pPr>
        <w:pStyle w:val="Heading2"/>
      </w:pPr>
      <w:r>
        <w:t>2.1 帧格式</w:t>
      </w:r>
    </w:p>
    <w:p>
      <w:r>
        <w:t>DATA 帧格式为 kind(1) + seq(1) + ack(1) + data[PKT_LEN] + CRC32(4)。ACK/NAK 帧格式为 kind(1) + seq(1) + ack(1) + CRC32(4)。所有发送帧均由 send_data_frame() 手工序列化，避免结构体 padding 影响传输。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字段</w:t>
            </w:r>
          </w:p>
        </w:tc>
        <w:tc>
          <w:tcPr>
            <w:tcW w:type="dxa" w:w="4968"/>
          </w:tcPr>
          <w:p>
            <w:r>
              <w:t>含义</w:t>
            </w:r>
          </w:p>
        </w:tc>
      </w:tr>
      <w:tr>
        <w:tc>
          <w:tcPr>
            <w:tcW w:type="dxa" w:w="4968"/>
          </w:tcPr>
          <w:p>
            <w:r>
              <w:t>kind</w:t>
            </w:r>
          </w:p>
        </w:tc>
        <w:tc>
          <w:tcPr>
            <w:tcW w:type="dxa" w:w="4968"/>
          </w:tcPr>
          <w:p>
            <w:r>
              <w:t>FRAME_DATA、FRAME_ACK、FRAME_NAK</w:t>
            </w:r>
          </w:p>
        </w:tc>
      </w:tr>
      <w:tr>
        <w:tc>
          <w:tcPr>
            <w:tcW w:type="dxa" w:w="4968"/>
          </w:tcPr>
          <w:p>
            <w:r>
              <w:t>seq</w:t>
            </w:r>
          </w:p>
        </w:tc>
        <w:tc>
          <w:tcPr>
            <w:tcW w:type="dxa" w:w="4968"/>
          </w:tcPr>
          <w:p>
            <w:r>
              <w:t>DATA 帧序号</w:t>
            </w:r>
          </w:p>
        </w:tc>
      </w:tr>
      <w:tr>
        <w:tc>
          <w:tcPr>
            <w:tcW w:type="dxa" w:w="4968"/>
          </w:tcPr>
          <w:p>
            <w:r>
              <w:t>ack</w:t>
            </w:r>
          </w:p>
        </w:tc>
        <w:tc>
          <w:tcPr>
            <w:tcW w:type="dxa" w:w="4968"/>
          </w:tcPr>
          <w:p>
            <w:r>
              <w:t>DATA/ACK 中为累计确认号；NAK 中为请求重传的缺失帧号</w:t>
            </w:r>
          </w:p>
        </w:tc>
      </w:tr>
      <w:tr>
        <w:tc>
          <w:tcPr>
            <w:tcW w:type="dxa" w:w="4968"/>
          </w:tcPr>
          <w:p>
            <w:r>
              <w:t>data</w:t>
            </w:r>
          </w:p>
        </w:tc>
        <w:tc>
          <w:tcPr>
            <w:tcW w:type="dxa" w:w="4968"/>
          </w:tcPr>
          <w:p>
            <w:r>
              <w:t>网络层分组，长度 PKT_LEN=256</w:t>
            </w:r>
          </w:p>
        </w:tc>
      </w:tr>
      <w:tr>
        <w:tc>
          <w:tcPr>
            <w:tcW w:type="dxa" w:w="4968"/>
          </w:tcPr>
          <w:p>
            <w:r>
              <w:t>CRC32</w:t>
            </w:r>
          </w:p>
        </w:tc>
        <w:tc>
          <w:tcPr>
            <w:tcW w:type="dxa" w:w="4968"/>
          </w:tcPr>
          <w:p>
            <w:r>
              <w:t>覆盖头部和载荷，接收端对整帧计算 crc32(frame,len)==0 判定正确</w:t>
            </w:r>
          </w:p>
        </w:tc>
      </w:tr>
    </w:tbl>
    <w:p>
      <w:pPr>
        <w:pStyle w:val="Heading2"/>
      </w:pPr>
      <w:r>
        <w:t>2.2 关键数据结构和变量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名称</w:t>
            </w:r>
          </w:p>
        </w:tc>
        <w:tc>
          <w:tcPr>
            <w:tcW w:type="dxa" w:w="4968"/>
          </w:tcPr>
          <w:p>
            <w:r>
              <w:t>作用</w:t>
            </w:r>
          </w:p>
        </w:tc>
      </w:tr>
      <w:tr>
        <w:tc>
          <w:tcPr>
            <w:tcW w:type="dxa" w:w="4968"/>
          </w:tcPr>
          <w:p>
            <w:r>
              <w:t>MAX_SEQ=15</w:t>
            </w:r>
          </w:p>
        </w:tc>
        <w:tc>
          <w:tcPr>
            <w:tcW w:type="dxa" w:w="4968"/>
          </w:tcPr>
          <w:p>
            <w:r>
              <w:t>序号空间 0..15，共 16 个序号</w:t>
            </w:r>
          </w:p>
        </w:tc>
      </w:tr>
      <w:tr>
        <w:tc>
          <w:tcPr>
            <w:tcW w:type="dxa" w:w="4968"/>
          </w:tcPr>
          <w:p>
            <w:r>
              <w:t>NR_BUFS=8</w:t>
            </w:r>
          </w:p>
        </w:tc>
        <w:tc>
          <w:tcPr>
            <w:tcW w:type="dxa" w:w="4968"/>
          </w:tcPr>
          <w:p>
            <w:r>
              <w:t>SR 窗口大小，满足 SR 窗口不超过序号空间一半</w:t>
            </w:r>
          </w:p>
        </w:tc>
      </w:tr>
      <w:tr>
        <w:tc>
          <w:tcPr>
            <w:tcW w:type="dxa" w:w="4968"/>
          </w:tcPr>
          <w:p>
            <w:r>
              <w:t>ack_expected</w:t>
            </w:r>
          </w:p>
        </w:tc>
        <w:tc>
          <w:tcPr>
            <w:tcW w:type="dxa" w:w="4968"/>
          </w:tcPr>
          <w:p>
            <w:r>
              <w:t>发送窗口下界，最早未确认帧</w:t>
            </w:r>
          </w:p>
        </w:tc>
      </w:tr>
      <w:tr>
        <w:tc>
          <w:tcPr>
            <w:tcW w:type="dxa" w:w="4968"/>
          </w:tcPr>
          <w:p>
            <w:r>
              <w:t>next_frame_to_send</w:t>
            </w:r>
          </w:p>
        </w:tc>
        <w:tc>
          <w:tcPr>
            <w:tcW w:type="dxa" w:w="4968"/>
          </w:tcPr>
          <w:p>
            <w:r>
              <w:t>发送窗口上界，下一个待发送帧</w:t>
            </w:r>
          </w:p>
        </w:tc>
      </w:tr>
      <w:tr>
        <w:tc>
          <w:tcPr>
            <w:tcW w:type="dxa" w:w="4968"/>
          </w:tcPr>
          <w:p>
            <w:r>
              <w:t>frame_expected</w:t>
            </w:r>
          </w:p>
        </w:tc>
        <w:tc>
          <w:tcPr>
            <w:tcW w:type="dxa" w:w="4968"/>
          </w:tcPr>
          <w:p>
            <w:r>
              <w:t>接收方期望的下一个按序帧</w:t>
            </w:r>
          </w:p>
        </w:tc>
      </w:tr>
      <w:tr>
        <w:tc>
          <w:tcPr>
            <w:tcW w:type="dxa" w:w="4968"/>
          </w:tcPr>
          <w:p>
            <w:r>
              <w:t>too_far</w:t>
            </w:r>
          </w:p>
        </w:tc>
        <w:tc>
          <w:tcPr>
            <w:tcW w:type="dxa" w:w="4968"/>
          </w:tcPr>
          <w:p>
            <w:r>
              <w:t>SR 接收窗口上界</w:t>
            </w:r>
          </w:p>
        </w:tc>
      </w:tr>
      <w:tr>
        <w:tc>
          <w:tcPr>
            <w:tcW w:type="dxa" w:w="4968"/>
          </w:tcPr>
          <w:p>
            <w:r>
              <w:t>out_buf</w:t>
            </w:r>
          </w:p>
        </w:tc>
        <w:tc>
          <w:tcPr>
            <w:tcW w:type="dxa" w:w="4968"/>
          </w:tcPr>
          <w:p>
            <w:r>
              <w:t>发送缓存，保存已发送但未确认的分组</w:t>
            </w:r>
          </w:p>
        </w:tc>
      </w:tr>
      <w:tr>
        <w:tc>
          <w:tcPr>
            <w:tcW w:type="dxa" w:w="4968"/>
          </w:tcPr>
          <w:p>
            <w:r>
              <w:t>in_buf / arrived</w:t>
            </w:r>
          </w:p>
        </w:tc>
        <w:tc>
          <w:tcPr>
            <w:tcW w:type="dxa" w:w="4968"/>
          </w:tcPr>
          <w:p>
            <w:r>
              <w:t>SR 接收乱序缓存及到达标记</w:t>
            </w:r>
          </w:p>
        </w:tc>
      </w:tr>
      <w:tr>
        <w:tc>
          <w:tcPr>
            <w:tcW w:type="dxa" w:w="4968"/>
          </w:tcPr>
          <w:p>
            <w:r>
              <w:t>no_nak</w:t>
            </w:r>
          </w:p>
        </w:tc>
        <w:tc>
          <w:tcPr>
            <w:tcW w:type="dxa" w:w="4968"/>
          </w:tcPr>
          <w:p>
            <w:r>
              <w:t>SR 中是否无待处理 NAK，用于抑制重复 NAK 并驱动 repeat NAK</w:t>
            </w:r>
          </w:p>
        </w:tc>
      </w:tr>
    </w:tbl>
    <w:p>
      <w:pPr>
        <w:pStyle w:val="Heading2"/>
      </w:pPr>
      <w:r>
        <w:t>2.3 模块调用关系</w:t>
      </w:r>
    </w:p>
    <w:p>
      <w:r>
        <w:t>主调用关系如下：</w:t>
      </w:r>
    </w:p>
    <w:p>
      <w:r>
        <w:t>main() -&gt; strip_datalink_options() -&gt; protocol_init()</w:t>
      </w:r>
    </w:p>
    <w:p>
      <w:r>
        <w:t>main() 默认 -&gt; SR 事件循环</w:t>
      </w:r>
    </w:p>
    <w:p>
      <w:r>
        <w:t>main() --gbn -&gt; run_gbn()</w:t>
      </w:r>
    </w:p>
    <w:p>
      <w:r>
        <w:t>SR/GBN 发送路径 -&gt; send_data_frame() -&gt; crc32() -&gt; send_frame() -&gt; start_timer()</w:t>
      </w:r>
    </w:p>
    <w:p>
      <w:r>
        <w:t>SR 错误恢复 -&gt; send_nak() / DATA_TIMEOUT -&gt; 单帧重传</w:t>
      </w:r>
    </w:p>
    <w:p>
      <w:r>
        <w:t>GBN 错误恢复 -&gt; DATA_TIMEOUT -&gt; retransmit_gbn_window() -&gt; 整窗重传</w:t>
      </w:r>
    </w:p>
    <w:p>
      <w:r>
        <w:t>接收路径 -&gt; recv_frame() -&gt; CRC 校验 -&gt; ACK 滑动发送窗口 -&gt; put_packet()</w:t>
      </w:r>
    </w:p>
    <w:p>
      <w:pPr>
        <w:pStyle w:val="Heading2"/>
      </w:pPr>
      <w:r>
        <w:t>2.4 SR 与 GBN 行为差异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项目</w:t>
            </w:r>
          </w:p>
        </w:tc>
        <w:tc>
          <w:tcPr>
            <w:tcW w:type="dxa" w:w="3312"/>
          </w:tcPr>
          <w:p>
            <w:r>
              <w:t>SR</w:t>
            </w:r>
          </w:p>
        </w:tc>
        <w:tc>
          <w:tcPr>
            <w:tcW w:type="dxa" w:w="3312"/>
          </w:tcPr>
          <w:p>
            <w:r>
              <w:t>GBN</w:t>
            </w:r>
          </w:p>
        </w:tc>
      </w:tr>
      <w:tr>
        <w:tc>
          <w:tcPr>
            <w:tcW w:type="dxa" w:w="3312"/>
          </w:tcPr>
          <w:p>
            <w:r>
              <w:t>乱序帧</w:t>
            </w:r>
          </w:p>
        </w:tc>
        <w:tc>
          <w:tcPr>
            <w:tcW w:type="dxa" w:w="3312"/>
          </w:tcPr>
          <w:p>
            <w:r>
              <w:t>接收窗口内缓存，连续后按序交付</w:t>
            </w:r>
          </w:p>
        </w:tc>
        <w:tc>
          <w:tcPr>
            <w:tcW w:type="dxa" w:w="3312"/>
          </w:tcPr>
          <w:p>
            <w:r>
              <w:t>不缓存，只等待 frame_expected</w:t>
            </w:r>
          </w:p>
        </w:tc>
      </w:tr>
      <w:tr>
        <w:tc>
          <w:tcPr>
            <w:tcW w:type="dxa" w:w="3312"/>
          </w:tcPr>
          <w:p>
            <w:r>
              <w:t>重传策略</w:t>
            </w:r>
          </w:p>
        </w:tc>
        <w:tc>
          <w:tcPr>
            <w:tcW w:type="dxa" w:w="3312"/>
          </w:tcPr>
          <w:p>
            <w:r>
              <w:t>NAK 或 DATA timeout 触发单帧重传</w:t>
            </w:r>
          </w:p>
        </w:tc>
        <w:tc>
          <w:tcPr>
            <w:tcW w:type="dxa" w:w="3312"/>
          </w:tcPr>
          <w:p>
            <w:r>
              <w:t>DATA timeout 后从 ack_expected 起整窗重传</w:t>
            </w:r>
          </w:p>
        </w:tc>
      </w:tr>
      <w:tr>
        <w:tc>
          <w:tcPr>
            <w:tcW w:type="dxa" w:w="3312"/>
          </w:tcPr>
          <w:p>
            <w:r>
              <w:t>NAK</w:t>
            </w:r>
          </w:p>
        </w:tc>
        <w:tc>
          <w:tcPr>
            <w:tcW w:type="dxa" w:w="3312"/>
          </w:tcPr>
          <w:p>
            <w:r>
              <w:t>支持 NAK 与 repeat NAK</w:t>
            </w:r>
          </w:p>
        </w:tc>
        <w:tc>
          <w:tcPr>
            <w:tcW w:type="dxa" w:w="3312"/>
          </w:tcPr>
          <w:p>
            <w:r>
              <w:t>不依赖 NAK，作为纯 GBN 对照</w:t>
            </w:r>
          </w:p>
        </w:tc>
      </w:tr>
      <w:tr>
        <w:tc>
          <w:tcPr>
            <w:tcW w:type="dxa" w:w="3312"/>
          </w:tcPr>
          <w:p>
            <w:r>
              <w:t>误码性能</w:t>
            </w:r>
          </w:p>
        </w:tc>
        <w:tc>
          <w:tcPr>
            <w:tcW w:type="dxa" w:w="3312"/>
          </w:tcPr>
          <w:p>
            <w:r>
              <w:t>误码下损失较小</w:t>
            </w:r>
          </w:p>
        </w:tc>
        <w:tc>
          <w:tcPr>
            <w:tcW w:type="dxa" w:w="3312"/>
          </w:tcPr>
          <w:p>
            <w:r>
              <w:t>误码下整窗回退导致效率下降</w:t>
            </w:r>
          </w:p>
        </w:tc>
      </w:tr>
    </w:tbl>
    <w:p>
      <w:pPr>
        <w:pStyle w:val="Heading1"/>
      </w:pPr>
      <w:r>
        <w:t>3. 性能测试与实验结果分析</w:t>
      </w:r>
    </w:p>
    <w:p>
      <w:r>
        <w:t>SR 采用 1200 秒五组完整测试结果；GBN 采用 600 秒五组测试结果，满足性能测试记录表“运行时间超过 10 分钟”的要求。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测试项</w:t>
            </w:r>
          </w:p>
        </w:tc>
        <w:tc>
          <w:tcPr>
            <w:tcW w:type="dxa" w:w="1656"/>
          </w:tcPr>
          <w:p>
            <w:r>
              <w:t>运行时间</w:t>
            </w:r>
          </w:p>
        </w:tc>
        <w:tc>
          <w:tcPr>
            <w:tcW w:type="dxa" w:w="1656"/>
          </w:tcPr>
          <w:p>
            <w:r>
              <w:t>GBN A</w:t>
            </w:r>
          </w:p>
        </w:tc>
        <w:tc>
          <w:tcPr>
            <w:tcW w:type="dxa" w:w="1656"/>
          </w:tcPr>
          <w:p>
            <w:r>
              <w:t>GBN B</w:t>
            </w:r>
          </w:p>
        </w:tc>
        <w:tc>
          <w:tcPr>
            <w:tcW w:type="dxa" w:w="1656"/>
          </w:tcPr>
          <w:p>
            <w:r>
              <w:t>SR A</w:t>
            </w:r>
          </w:p>
        </w:tc>
        <w:tc>
          <w:tcPr>
            <w:tcW w:type="dxa" w:w="1656"/>
          </w:tcPr>
          <w:p>
            <w:r>
              <w:t>SR B</w:t>
            </w:r>
          </w:p>
        </w:tc>
      </w:tr>
      <w:tr>
        <w:tc>
          <w:tcPr>
            <w:tcW w:type="dxa" w:w="1656"/>
          </w:tcPr>
          <w:p>
            <w:r>
              <w:t>无误码数据传输 (--utopia)</w:t>
            </w:r>
          </w:p>
        </w:tc>
        <w:tc>
          <w:tcPr>
            <w:tcW w:type="dxa" w:w="1656"/>
          </w:tcPr>
          <w:p>
            <w:r>
              <w:t>GBN 600 / SR 1200</w:t>
            </w:r>
          </w:p>
        </w:tc>
        <w:tc>
          <w:tcPr>
            <w:tcW w:type="dxa" w:w="1656"/>
          </w:tcPr>
          <w:p>
            <w:r>
              <w:t>51.65</w:t>
            </w:r>
          </w:p>
        </w:tc>
        <w:tc>
          <w:tcPr>
            <w:tcW w:type="dxa" w:w="1656"/>
          </w:tcPr>
          <w:p>
            <w:r>
              <w:t>96.96</w:t>
            </w:r>
          </w:p>
        </w:tc>
        <w:tc>
          <w:tcPr>
            <w:tcW w:type="dxa" w:w="1656"/>
          </w:tcPr>
          <w:p>
            <w:r>
              <w:t>51.65</w:t>
            </w:r>
          </w:p>
        </w:tc>
        <w:tc>
          <w:tcPr>
            <w:tcW w:type="dxa" w:w="1656"/>
          </w:tcPr>
          <w:p>
            <w:r>
              <w:t>96.96</w:t>
            </w:r>
          </w:p>
        </w:tc>
      </w:tr>
      <w:tr>
        <w:tc>
          <w:tcPr>
            <w:tcW w:type="dxa" w:w="1656"/>
          </w:tcPr>
          <w:p>
            <w:r>
              <w:t>默认平缓/周期交替</w:t>
            </w:r>
          </w:p>
        </w:tc>
        <w:tc>
          <w:tcPr>
            <w:tcW w:type="dxa" w:w="1656"/>
          </w:tcPr>
          <w:p>
            <w:r>
              <w:t>GBN 600 / SR 1200</w:t>
            </w:r>
          </w:p>
        </w:tc>
        <w:tc>
          <w:tcPr>
            <w:tcW w:type="dxa" w:w="1656"/>
          </w:tcPr>
          <w:p>
            <w:r>
              <w:t>38.83</w:t>
            </w:r>
          </w:p>
        </w:tc>
        <w:tc>
          <w:tcPr>
            <w:tcW w:type="dxa" w:w="1656"/>
          </w:tcPr>
          <w:p>
            <w:r>
              <w:t>77.49</w:t>
            </w:r>
          </w:p>
        </w:tc>
        <w:tc>
          <w:tcPr>
            <w:tcW w:type="dxa" w:w="1656"/>
          </w:tcPr>
          <w:p>
            <w:r>
              <w:t>49.43</w:t>
            </w:r>
          </w:p>
        </w:tc>
        <w:tc>
          <w:tcPr>
            <w:tcW w:type="dxa" w:w="1656"/>
          </w:tcPr>
          <w:p>
            <w:r>
              <w:t>91.89</w:t>
            </w:r>
          </w:p>
        </w:tc>
      </w:tr>
      <w:tr>
        <w:tc>
          <w:tcPr>
            <w:tcW w:type="dxa" w:w="1656"/>
          </w:tcPr>
          <w:p>
            <w:r>
              <w:t>无误码洪水 (--flood --utopia)</w:t>
            </w:r>
          </w:p>
        </w:tc>
        <w:tc>
          <w:tcPr>
            <w:tcW w:type="dxa" w:w="1656"/>
          </w:tcPr>
          <w:p>
            <w:r>
              <w:t>GBN 600 / SR 1200</w:t>
            </w:r>
          </w:p>
        </w:tc>
        <w:tc>
          <w:tcPr>
            <w:tcW w:type="dxa" w:w="1656"/>
          </w:tcPr>
          <w:p>
            <w:r>
              <w:t>96.96</w:t>
            </w:r>
          </w:p>
        </w:tc>
        <w:tc>
          <w:tcPr>
            <w:tcW w:type="dxa" w:w="1656"/>
          </w:tcPr>
          <w:p>
            <w:r>
              <w:t>96.96</w:t>
            </w:r>
          </w:p>
        </w:tc>
        <w:tc>
          <w:tcPr>
            <w:tcW w:type="dxa" w:w="1656"/>
          </w:tcPr>
          <w:p>
            <w:r>
              <w:t>96.96</w:t>
            </w:r>
          </w:p>
        </w:tc>
        <w:tc>
          <w:tcPr>
            <w:tcW w:type="dxa" w:w="1656"/>
          </w:tcPr>
          <w:p>
            <w:r>
              <w:t>96.97</w:t>
            </w:r>
          </w:p>
        </w:tc>
      </w:tr>
      <w:tr>
        <w:tc>
          <w:tcPr>
            <w:tcW w:type="dxa" w:w="1656"/>
          </w:tcPr>
          <w:p>
            <w:r>
              <w:t>常规洪水 (--flood)</w:t>
            </w:r>
          </w:p>
        </w:tc>
        <w:tc>
          <w:tcPr>
            <w:tcW w:type="dxa" w:w="1656"/>
          </w:tcPr>
          <w:p>
            <w:r>
              <w:t>GBN 600 / SR 1200</w:t>
            </w:r>
          </w:p>
        </w:tc>
        <w:tc>
          <w:tcPr>
            <w:tcW w:type="dxa" w:w="1656"/>
          </w:tcPr>
          <w:p>
            <w:r>
              <w:t>74.52</w:t>
            </w:r>
          </w:p>
        </w:tc>
        <w:tc>
          <w:tcPr>
            <w:tcW w:type="dxa" w:w="1656"/>
          </w:tcPr>
          <w:p>
            <w:r>
              <w:t>72.73</w:t>
            </w:r>
          </w:p>
        </w:tc>
        <w:tc>
          <w:tcPr>
            <w:tcW w:type="dxa" w:w="1656"/>
          </w:tcPr>
          <w:p>
            <w:r>
              <w:t>92.90</w:t>
            </w:r>
          </w:p>
        </w:tc>
        <w:tc>
          <w:tcPr>
            <w:tcW w:type="dxa" w:w="1656"/>
          </w:tcPr>
          <w:p>
            <w:r>
              <w:t>92.77</w:t>
            </w:r>
          </w:p>
        </w:tc>
      </w:tr>
      <w:tr>
        <w:tc>
          <w:tcPr>
            <w:tcW w:type="dxa" w:w="1656"/>
          </w:tcPr>
          <w:p>
            <w:r>
              <w:t>高误码洪水 (--flood --ber=1e-4)</w:t>
            </w:r>
          </w:p>
        </w:tc>
        <w:tc>
          <w:tcPr>
            <w:tcW w:type="dxa" w:w="1656"/>
          </w:tcPr>
          <w:p>
            <w:r>
              <w:t>GBN 600 / SR 1200</w:t>
            </w:r>
          </w:p>
        </w:tc>
        <w:tc>
          <w:tcPr>
            <w:tcW w:type="dxa" w:w="1656"/>
          </w:tcPr>
          <w:p>
            <w:r>
              <w:t>27.06</w:t>
            </w:r>
          </w:p>
        </w:tc>
        <w:tc>
          <w:tcPr>
            <w:tcW w:type="dxa" w:w="1656"/>
          </w:tcPr>
          <w:p>
            <w:r>
              <w:t>26.83</w:t>
            </w:r>
          </w:p>
        </w:tc>
        <w:tc>
          <w:tcPr>
            <w:tcW w:type="dxa" w:w="1656"/>
          </w:tcPr>
          <w:p>
            <w:r>
              <w:t>58.19</w:t>
            </w:r>
          </w:p>
        </w:tc>
        <w:tc>
          <w:tcPr>
            <w:tcW w:type="dxa" w:w="1656"/>
          </w:tcPr>
          <w:p>
            <w:r>
              <w:t>57.70</w:t>
            </w:r>
          </w:p>
        </w:tc>
      </w:tr>
    </w:tbl>
    <w:p>
      <w:r>
        <w:t>测试结论：无误码洪水模式下，两种协议均接近 97%，说明物理层队列控制、ACK 搭载和窗口发送能力正常。默认误码与高误码下 SR 明显优于 GBN，符合选择重传协议只重传错误帧、GBN 需要整窗回退的理论预期。</w:t>
      </w:r>
    </w:p>
    <w:p>
      <w:r>
        <w:t>GBN 默认平缓/周期交替模式中出现一次 System too busy 警告，该警告来自操作系统调度延迟，不是协议 fatal；五组 GBN 均 Quit=True。</w:t>
      </w:r>
    </w:p>
    <w:p>
      <w:pPr>
        <w:pStyle w:val="Heading1"/>
      </w:pPr>
      <w:r>
        <w:t>4. 理论效率与实际差距</w:t>
      </w:r>
    </w:p>
    <w:p>
      <w:r>
        <w:t>信道速率为 8000bps，传播时延为 270ms，网络层分组 256 字节。数据帧除载荷外还包含 kind、seq、ack 和 CRC32，且帧间有边界开销，因此即使在理想无误码 flood 场景，分组层实际利用率也低于 100%。</w:t>
      </w:r>
    </w:p>
    <w:p>
      <w:r>
        <w:t>无误码 flood 下实测约 96.96%，说明当前实现接近仿真环境可达到的实际上限。普通非 flood 模式下，A/B 产生分组节奏不对称，A 端利用率约 51%，B 端可接近 97%，这是网络层业务模式造成，不是链路层死锁。</w:t>
      </w:r>
    </w:p>
    <w:p>
      <w:r>
        <w:t>误码下 SR 与 GBN 差距来自错误恢复策略。SR 能保留错误帧之后已经正确到达的帧，只重传缺失帧；GBN 丢弃乱序帧，错误后续正确帧也会被浪费，因此误码越高，GBN 利用率下降越明显。</w:t>
      </w:r>
    </w:p>
    <w:p>
      <w:pPr>
        <w:pStyle w:val="Heading1"/>
      </w:pPr>
      <w:r>
        <w:t>5. 研究与探索总结</w:t>
      </w:r>
    </w:p>
    <w:p>
      <w:r>
        <w:t>CRC32 可以极大降低未检出错误概率，但理论上不能保证 100% 检出所有错误；在实验环境中，配合序号、ACK/NAK 和重传机制，可满足无差错交付的实验目标。</w:t>
      </w:r>
    </w:p>
    <w:p>
      <w:r>
        <w:t>ACK timer 与 DATA timer 的语义不同：DATA timer 在物理队列发送完之后计时，适合重传；ACK timer 从当前时刻计时，并且重复启动不重置剩余时间，适合延迟 ACK 与 repeat NAK。</w:t>
      </w:r>
    </w:p>
    <w:p>
      <w:r>
        <w:t>物理层发送队列需要节流。SR 中使用 PHL_QUEUE_LIMIT 限制网络层继续供包，避免 flood 模式下 ACK/NAK 被大量 DATA 长时间压在队尾。</w:t>
      </w:r>
    </w:p>
    <w:p>
      <w:pPr>
        <w:pStyle w:val="Heading1"/>
      </w:pPr>
      <w:r>
        <w:t>6. 源程序清单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文件</w:t>
            </w:r>
          </w:p>
        </w:tc>
        <w:tc>
          <w:tcPr>
            <w:tcW w:type="dxa" w:w="3312"/>
          </w:tcPr>
          <w:p>
            <w:r>
              <w:t>说明</w:t>
            </w:r>
          </w:p>
        </w:tc>
        <w:tc>
          <w:tcPr>
            <w:tcW w:type="dxa" w:w="3312"/>
          </w:tcPr>
          <w:p>
            <w:r>
              <w:t>是否提交</w:t>
            </w:r>
          </w:p>
        </w:tc>
      </w:tr>
      <w:tr>
        <w:tc>
          <w:tcPr>
            <w:tcW w:type="dxa" w:w="3312"/>
          </w:tcPr>
          <w:p>
            <w:r>
              <w:t>datalink.c</w:t>
            </w:r>
          </w:p>
        </w:tc>
        <w:tc>
          <w:tcPr>
            <w:tcW w:type="dxa" w:w="3312"/>
          </w:tcPr>
          <w:p>
            <w:r>
              <w:t>自行实现的 SR/GBN 数据链路层协议主程序</w:t>
            </w:r>
          </w:p>
        </w:tc>
        <w:tc>
          <w:tcPr>
            <w:tcW w:type="dxa" w:w="3312"/>
          </w:tcPr>
          <w:p>
            <w:r>
              <w:t>是</w:t>
            </w:r>
          </w:p>
        </w:tc>
      </w:tr>
      <w:tr>
        <w:tc>
          <w:tcPr>
            <w:tcW w:type="dxa" w:w="3312"/>
          </w:tcPr>
          <w:p>
            <w:r>
              <w:t>datalink.h</w:t>
            </w:r>
          </w:p>
        </w:tc>
        <w:tc>
          <w:tcPr>
            <w:tcW w:type="dxa" w:w="3312"/>
          </w:tcPr>
          <w:p>
            <w:r>
              <w:t>帧类型和帧格式说明</w:t>
            </w:r>
          </w:p>
        </w:tc>
        <w:tc>
          <w:tcPr>
            <w:tcW w:type="dxa" w:w="3312"/>
          </w:tcPr>
          <w:p>
            <w:r>
              <w:t>是</w:t>
            </w:r>
          </w:p>
        </w:tc>
      </w:tr>
      <w:tr>
        <w:tc>
          <w:tcPr>
            <w:tcW w:type="dxa" w:w="3312"/>
          </w:tcPr>
          <w:p>
            <w:r>
              <w:t>protocol.c/h、crc32.c、lprintf.c/h、getopt.c/h</w:t>
            </w:r>
          </w:p>
        </w:tc>
        <w:tc>
          <w:tcPr>
            <w:tcW w:type="dxa" w:w="3312"/>
          </w:tcPr>
          <w:p>
            <w:r>
              <w:t>实验框架库文件，未作为本次自行源码提交</w:t>
            </w:r>
          </w:p>
        </w:tc>
        <w:tc>
          <w:tcPr>
            <w:tcW w:type="dxa" w:w="3312"/>
          </w:tcPr>
          <w:p>
            <w:r>
              <w:t>否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