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经管本科论文智检报告</w:t>
      </w:r>
    </w:p>
    <w:p>
      <w:pPr>
        <w:jc w:val="center"/>
      </w:pPr>
      <w:r>
        <w:rPr>
          <w:sz w:val="24"/>
        </w:rPr>
        <w:t>基于经管论文智检 Skill 的提交前自检反馈</w:t>
      </w:r>
    </w:p>
    <w:p/>
    <w:p>
      <w:pPr>
        <w:pStyle w:val="Heading1"/>
      </w:pPr>
      <w:r>
        <w:t>一、检测基本信息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原论文文件名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sample_paper_with_errors.docx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检测日期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2026-07-09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论文类型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经管类实证论文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数据类型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面板数据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已识别方法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面板固定效应、熵值法、中介效应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总体风险等级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高风险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报告生成说明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本报告基于 DOCX 可解析文本与表格自动生成。</w:t>
            </w:r>
          </w:p>
        </w:tc>
      </w:tr>
    </w:tbl>
    <w:p/>
    <w:p>
      <w:pPr>
        <w:pStyle w:val="Heading1"/>
      </w:pPr>
      <w:r>
        <w:t>二、论文画像识别结果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画像字段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识别结果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论文类型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经管类实证论文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数据类型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面板数据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样本对象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中国 30 个省级行政区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样本期间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2011—2022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已识别方法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面板固定效应、熵值法、中介效应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触发规则组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non_model_topic_rules、non_model_literature_rules、non_model_data_variable_rules、non_model_structure_norm_rules、model_general_empirical_rules、model_panel_rules、model_mediation_rules、model_entropy_index_rules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不适用规则组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model_did_rules、model_iv_rules、model_logit_probit_rules、model_questionnaire_scale_rules、model_case_analysis_rules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需人工确认事项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回归表#3 部分列疑似为图片嵌入，需人工确认标准误处理</w:t>
            </w:r>
          </w:p>
        </w:tc>
      </w:tr>
    </w:tbl>
    <w:p/>
    <w:p>
      <w:pPr>
        <w:pStyle w:val="Heading1"/>
      </w:pPr>
      <w:r>
        <w:t>三、总体评价与修改优先级</w:t>
      </w:r>
    </w:p>
    <w:p>
      <w:r>
        <w:rPr>
          <w:sz w:val="21"/>
        </w:rPr>
        <w:t>综合当前可识别内容，本报告将论文提交前修改风险判断为：高风险。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通过项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红色必改问题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黄色建议补充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绿色优化提升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灰色需人工确认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不适用项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pStyle w:val="Heading1"/>
      </w:pPr>
      <w:r>
        <w:t>四、通过项概览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所属诊断域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通过项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选题与研究问题质检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题目已体现研究对象与核心变量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段落#1：《数字经济对区域共同富裕的影响研究——基于中国省级面板数据》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文献综述与理论链条质检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文献综述已按主题分类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段落#28—段落#42：分为数字经济文献、共同富裕文献、二者关系文献三类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数据、变量与口径质检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已呈现变量定义表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表格#1：包含被解释变量、核心解释变量、控制变量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已呈现模型方程与固定效应设定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段落#78：Y_{it} = α + βX_{it} + γZ_{it} + μ_i + λ_t + ε_{it}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中英文摘要与关键词均已呈现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段落#3—段落#7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已包含基准回归、稳健性、机制分析三层结构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表格#3、表格#4、表格#5</w:t>
            </w:r>
          </w:p>
        </w:tc>
      </w:tr>
    </w:tbl>
    <w:p/>
    <w:p>
      <w:pPr>
        <w:pStyle w:val="Heading1"/>
      </w:pPr>
      <w:r>
        <w:t>五、红色必改问题</w:t>
      </w:r>
    </w:p>
    <w:p>
      <w:pPr>
        <w:pStyle w:val="Heading2"/>
      </w:pPr>
      <w:r>
        <w:t>1. R-01｜中英文摘要关键信息不一致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红色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中文摘要段落#3；英文摘要段落#5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中文写“样本期间 2011—2022 年”；英文写“from 2012 to 2022”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样本期间的中英表述不一致，属于第 9bis 节红色硬伤强制清单第 4 项：中英文摘要关键信息不一致。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建议建立中英文摘要对照表，统一样本期间、研究对象、方法与结论表述。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2. R-02｜正文结论超出表格结果支持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红色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结论段落#136；对应表格#3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正文写“东部效应最强、中部次之、西部最弱”；表格#3 分组回归系数：东部 0.213***、中部 0.098*、西部 0.312***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文字描述的大小排序（东＞中＞西）与表格实际系数排序（西＞东＞中）不一致，属于第 9bis 节硬伤第 3 项。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建议重新核对分组回归系数并调整正文表述；若基于稳健性另有解释，需在文中显式说明依据的是哪一列。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3. R-03｜熵值法指标体系与权重计算说明不足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红色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数据、变量与口径质检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指标体系段落#55—段落#62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正文提到“采用熵值法构建共同富裕综合指数”，但未呈现指标正负向属性、标准化公式与权重计算公式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熵值法核心步骤缺失，将导致综合指数无法复核，属于影响数据可复核性的核心问题。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建议补充指标体系表（含正负向属性）、min-max 标准化公式、熵值权重公式 wj = (1-ej) / Σ(1-ej) 以及综合得分计算过程。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4. R-04｜相关关系表述为强因果关系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红色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结论段落#138；摘要段落#3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结论写“数字经济导致共同富裕水平显著提升”“证明数字经济对共同富裕存在因果作用”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论文使用双向固定效应模型，未采用 DID/IV 等因果识别策略，不宜使用“导致/证明因果”等强因果表述。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建议改为“显著促进”“存在显著正向影响”等稳妥表述；如需保留因果结论，需补充明确的识别策略与局限性讨论。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六、黄色建议补充问题</w:t>
      </w:r>
    </w:p>
    <w:p>
      <w:pPr>
        <w:pStyle w:val="Heading2"/>
      </w:pPr>
      <w:r>
        <w:t>1. Y-01｜研究问题不明确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选题与研究问题质检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引言段落#12—段落#18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引言前 60% 为宏观政策背景铺陈，末段仅笼统提出“探讨数字经济对共同富裕的影响”，未明确核心机制与研究边界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引言末段研究问题过于宽泛，未落到可回答、可验证的层面。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建议在引言末段用 2—3 个具体问题界定：影响方向如何？通过何种机制？在东中西部是否存在异质性？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2. Y-02｜文献综述罗列化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文献综述与理论链条质检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文献综述段落#28—段落#42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综述连续使用“XX（2019）认为”“YY（2020）指出”，缺少已有研究不足与本文切入点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文献综述结束后直接进入研究设计，未评述本文相对已有研究的边际贡献。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建议在综述末段补充已有研究不足与本文切入点，说明本文在样本、机制或指标构建上的边际补充。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3. Y-03｜样本筛选过程不透明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数据、变量与口径质检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数据来源段落#48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正文直接写“最终得到 330 个省份-年份观测值”，未说明剔除规则与缺失值处理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样本筛选过程不透明，读者无法复核样本口径。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建议增加样本筛选流程表：初始样本 → 剔除原因 → 剔除数量 → 最终样本。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4. Y-04｜模型方程、变量符号或下标说明不完整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模型设定段落#78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模型方程已列出，但未说明 i、t 下标含义与误差项聚类假设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变量符号与下标说明不完整，影响模型可解释性。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建议在模型方程下方补充：i 表示省份，t 表示年份；μ_i 为省份固定效应，λ_t 为年度固定效应；ε_{it} 为聚类到省份的稳健标准误。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5. Y-05｜固定效应与随机效应选择依据不足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模型设定段落#79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论文使用双向固定效应但未说明 Hausman 检验或理论依据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未说明选择固定效应的理由。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建议报告 Hausman 检验结果，或从省份异质性角度说明选择个体固定效应的理论依据。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6. Y-06｜中介效应结果解释不完整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机制分析段落#108—段落#118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论文报告了中介变量回归结果，但未解释 X→M、M→Y、X→Y 的间接效应大小与显著性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中介路径未完整展开。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建议围绕三段式效应解释中介机制：X 对 M（第一阶段）、加入 M 后 X 对 Y（第二阶段），并报告 Sobel 检验或 Bootstrap 结果。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7. Y-07｜图表注释不完整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表格#3、表格#4、表格#5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多张回归表未说明括号内为标准误还是 t 值，也未说明显著性星号含义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回归表注释不完整，影响可读性与规范性。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建议统一在表注中说明：括号内为聚类到省份的稳健标准误；***、**、* 分别代表 1%、5%、10% 显著性水平。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8. Y-08｜正文引用与参考文献不一致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黄色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正文段落#33、段落#61；参考文献段落#150—段落#182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正文引用“Acemoglu (2019)”“陈钊 (2020)”在参考文献中未找到对应条目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存在正文引用未列入参考文献的情况。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建议逐条核对正文引用与文末参考文献，确保双向对应；建议使用 Zotero 或 EndNote 统一管理。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七、绿色优化提升建议</w:t>
      </w:r>
    </w:p>
    <w:p>
      <w:pPr>
        <w:pStyle w:val="Heading2"/>
      </w:pPr>
      <w:r>
        <w:t>1. G-01｜关键词设置不规范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绿色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关键词段落#4；英文关键词段落#7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中文 5 个关键词、英文 4 个；“数字经济”英文译为“Digital economy”与“digital economy”两种大小写形式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关键词大小写与顺序未统一。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建议统一英文关键词大小写形式，保留 3—5 个核心关键词。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2. G-02｜政策建议或管理建议套话化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绿色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政策建议段落#140—段落#145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多次出现“加强”“完善”“提高”“进一步推进”等泛化表述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建议内容缺少具体主体与可执行动作。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建议按“研究发现 → 对应主体 → 具体行动 → 预期效果”的四段式改写政策建议。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3. G-03｜语言表达、重复或标题错误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绿色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全文抽样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多处出现“具有一定的重要意义”“在一定程度上”等冗余表达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语言存在轻微冗余。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建议删除冗余表达，保持学术表达简洁。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八、灰色需人工确认事项</w:t>
      </w:r>
    </w:p>
    <w:p>
      <w:pPr>
        <w:pStyle w:val="Heading2"/>
      </w:pPr>
      <w:r>
        <w:t>1. M-01｜回归表基本信息不完整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灰色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方法模型与实证结果质检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表格#3 第 5—7 列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该区域文本抽取为空，疑似图片嵌入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回归表部分列无法稳定解析，无法核对样本量、R²、固定效应设定。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建议人工确认第 5—7 列是否包含样本量、R²、固定效应说明；若缺失，请补充。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2"/>
      </w:pPr>
      <w:r>
        <w:t>2. M-02｜参考文献格式解析不完整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问题等级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灰色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所属诊断域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结构表达与学术规范质检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所在位置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参考文献段落#150—段落#182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原文证据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参考文献含大量特殊字符与斜体，脚本抽取存在丢字符情况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证据强度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弱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问题说明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参考文献格式规范性无法在脚本层稳定核对。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修改建议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建议按学校 GB/T 7714 模板人工核对参考文献格式。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需人工确认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b/>
                <w:sz w:val="18"/>
              </w:rPr>
              <w:t>所在位置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b/>
                <w:sz w:val="18"/>
              </w:rPr>
              <w:t>需要确认的原因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建议人工复核方式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MC-01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回归表#3 第 5—7 列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表格#3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文本抽取为空，疑似图片嵌入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打开原文档确认该区域是否为图片；如为图片，请另存为可编辑表格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MC-02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参考文献格式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参考文献段落#150—段落#182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特殊字符导致丢字符，无法稳定核对格式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b w:val="0"/>
                <w:sz w:val="18"/>
              </w:rPr>
              <w:t>对照 GB/T 7714 或学院模板逐条人工核对</w:t>
            </w:r>
          </w:p>
        </w:tc>
      </w:tr>
    </w:tbl>
    <w:p/>
    <w:p>
      <w:pPr>
        <w:pStyle w:val="Heading1"/>
      </w:pPr>
      <w:r>
        <w:t>九、五大诊断域详情</w:t>
      </w:r>
    </w:p>
    <w:p>
      <w:pPr>
        <w:pStyle w:val="Heading2"/>
      </w:pPr>
      <w:r>
        <w:t>选题与研究问题质检</w:t>
      </w:r>
    </w:p>
    <w:p>
      <w:r>
        <w:rPr>
          <w:sz w:val="21"/>
        </w:rPr>
        <w:t>通过项编号：PASS-01</w:t>
      </w:r>
    </w:p>
    <w:p>
      <w:r>
        <w:rPr>
          <w:sz w:val="21"/>
        </w:rPr>
        <w:t>问题编号：Y-01</w:t>
      </w:r>
    </w:p>
    <w:p>
      <w:pPr>
        <w:pStyle w:val="Heading2"/>
      </w:pPr>
      <w:r>
        <w:t>文献综述与理论链条质检</w:t>
      </w:r>
    </w:p>
    <w:p>
      <w:r>
        <w:rPr>
          <w:sz w:val="21"/>
        </w:rPr>
        <w:t>通过项编号：PASS-02</w:t>
      </w:r>
    </w:p>
    <w:p>
      <w:r>
        <w:rPr>
          <w:sz w:val="21"/>
        </w:rPr>
        <w:t>问题编号：Y-02</w:t>
      </w:r>
    </w:p>
    <w:p>
      <w:pPr>
        <w:pStyle w:val="Heading2"/>
      </w:pPr>
      <w:r>
        <w:t>数据、变量与口径质检</w:t>
      </w:r>
    </w:p>
    <w:p>
      <w:r>
        <w:rPr>
          <w:sz w:val="21"/>
        </w:rPr>
        <w:t>通过项编号：PASS-03</w:t>
      </w:r>
    </w:p>
    <w:p>
      <w:r>
        <w:rPr>
          <w:sz w:val="21"/>
        </w:rPr>
        <w:t>问题编号：R-03、Y-03</w:t>
      </w:r>
    </w:p>
    <w:p>
      <w:pPr>
        <w:pStyle w:val="Heading2"/>
      </w:pPr>
      <w:r>
        <w:t>方法模型与实证结果质检</w:t>
      </w:r>
    </w:p>
    <w:p>
      <w:r>
        <w:rPr>
          <w:sz w:val="21"/>
        </w:rPr>
        <w:t>通过项编号：PASS-04、PASS-06</w:t>
      </w:r>
    </w:p>
    <w:p>
      <w:r>
        <w:rPr>
          <w:sz w:val="21"/>
        </w:rPr>
        <w:t>问题编号：R-02、R-04、Y-04、Y-05、Y-06、M-01</w:t>
      </w:r>
    </w:p>
    <w:p>
      <w:pPr>
        <w:pStyle w:val="Heading2"/>
      </w:pPr>
      <w:r>
        <w:t>结构表达与学术规范质检</w:t>
      </w:r>
    </w:p>
    <w:p>
      <w:r>
        <w:rPr>
          <w:sz w:val="21"/>
        </w:rPr>
        <w:t>通过项编号：PASS-05</w:t>
      </w:r>
    </w:p>
    <w:p>
      <w:r>
        <w:rPr>
          <w:sz w:val="21"/>
        </w:rPr>
        <w:t>问题编号：R-01、Y-07、Y-08、G-01、G-02、G-03、M-02</w:t>
      </w:r>
    </w:p>
    <w:p>
      <w:pPr>
        <w:pStyle w:val="Heading1"/>
      </w:pPr>
      <w:r>
        <w:t>十、优先修改行动清单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修改行动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对应问题编号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预期效果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重新核对分组回归系数并统一正文/摘要/结论的排序描述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R-02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消除结论方向与回归表的矛盾，保障结论可信度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补齐熵值法指标体系表、标准化公式、权重公式与综合得分计算过程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R-03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让共同富裕综合指数可被读者独立复核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建立中英文摘要对照表，统一样本期间与关键信息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R-01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消除中英文摘要不一致的硬伤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将强因果表述调整为“显著促进/影响”，或补充明确的识别策略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R-04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避免相关关系被写成强因果结论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补齐引言研究问题、样本筛选流程、模型下标含义、中介三段式解释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Y-01, Y-03, Y-04, Y-06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提升整体规范性，降低黄色问题密度</w:t>
            </w:r>
          </w:p>
        </w:tc>
      </w:tr>
    </w:tbl>
    <w:p/>
    <w:p>
      <w:pPr>
        <w:pStyle w:val="Heading1"/>
      </w:pPr>
      <w:r>
        <w:t>十一、免责声明</w:t>
      </w:r>
    </w:p>
    <w:p>
      <w:r>
        <w:rPr>
          <w:sz w:val="21"/>
        </w:rPr>
        <w:t>本报告由“经管论文智检 Skill”基于用户上传的 Word/PDF 文档自动生成，仅用于本科论文和课程论文写作规范自检，不替代导师、答辩委员或学校正式评审意见。对于无法可靠解析的表格、公式、图片或主观方法选择，报告中已标注为“需人工确认”。本 Skill 不进行查重，不判断数据真实性，不联网核验参考文献真伪，也不提供论文代写服务。</w:t>
      </w:r>
    </w:p>
    <w:p>
      <w:pPr>
        <w:pStyle w:val="Heading2"/>
      </w:pPr>
      <w:r>
        <w:t>附：不适用规则说明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规则组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不适用原因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NA-01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model_did_rules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当前论文未检测到 DID、双重差分、处理组、对照组或政策时点相关内容，因此不触发 DID 规则。该项不构成论文问题。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NA-02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model_iv_rules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当前论文未检测到 IV、工具变量、2SLS 或两阶段最小二乘相关内容，因此不触发 IV/2SLS 规则。该项不构成论文问题。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NA-03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model_logit_probit_rules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论文被解释变量为连续变量，未使用 Logit/Probit 或二元选择模型，因此不触发该规则组。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NA-04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model_questionnaire_scale_rules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论文使用官方公开省级面板数据，非自编问卷或量表，因此不触发信度效度规则。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NA-05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model_case_analysis_rules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当前论文属于面板数据实证论文，非案例分析论文，因此不触发案例分析专项规则。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