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05" w:rsidRDefault="00017539">
      <w:pPr>
        <w:spacing w:after="654" w:line="265" w:lineRule="auto"/>
        <w:ind w:left="-5" w:hanging="10"/>
      </w:pPr>
      <w:r>
        <w:rPr>
          <w:sz w:val="50"/>
        </w:rPr>
        <w:t>Table of Contents</w:t>
      </w:r>
    </w:p>
    <w:p w:rsidR="002F1B05" w:rsidRDefault="00017539">
      <w:pPr>
        <w:tabs>
          <w:tab w:val="right" w:pos="9180"/>
        </w:tabs>
        <w:spacing w:after="160" w:line="259" w:lineRule="auto"/>
        <w:ind w:firstLine="0"/>
      </w:pPr>
      <w:r>
        <w:rPr>
          <w:color w:val="0000FF"/>
        </w:rPr>
        <w:t>List of Tables</w:t>
      </w:r>
      <w:r>
        <w:rPr>
          <w:color w:val="0000FF"/>
        </w:rPr>
        <w:tab/>
      </w:r>
      <w:r>
        <w:t>ix</w:t>
      </w:r>
    </w:p>
    <w:p w:rsidR="002F1B05" w:rsidRDefault="00017539">
      <w:pPr>
        <w:tabs>
          <w:tab w:val="right" w:pos="9180"/>
        </w:tabs>
        <w:spacing w:after="160" w:line="259" w:lineRule="auto"/>
        <w:ind w:firstLine="0"/>
      </w:pPr>
      <w:r>
        <w:rPr>
          <w:color w:val="0000FF"/>
        </w:rPr>
        <w:t>List of Figures</w:t>
      </w:r>
      <w:r>
        <w:rPr>
          <w:color w:val="0000FF"/>
        </w:rPr>
        <w:tab/>
      </w:r>
      <w:r>
        <w:t>xi</w:t>
      </w:r>
    </w:p>
    <w:p w:rsidR="002F1B05" w:rsidRDefault="00017539">
      <w:pPr>
        <w:tabs>
          <w:tab w:val="right" w:pos="9180"/>
        </w:tabs>
        <w:spacing w:after="160" w:line="259" w:lineRule="auto"/>
        <w:ind w:firstLine="0"/>
      </w:pPr>
      <w:r>
        <w:rPr>
          <w:color w:val="0000FF"/>
        </w:rPr>
        <w:t>Glossary</w:t>
      </w:r>
      <w:r>
        <w:rPr>
          <w:color w:val="0000FF"/>
        </w:rPr>
        <w:tab/>
      </w:r>
      <w:r>
        <w:t>xvi</w:t>
      </w:r>
    </w:p>
    <w:p w:rsidR="002F1B05" w:rsidRDefault="00017539">
      <w:pPr>
        <w:numPr>
          <w:ilvl w:val="0"/>
          <w:numId w:val="1"/>
        </w:numPr>
        <w:spacing w:after="160" w:line="259" w:lineRule="auto"/>
        <w:ind w:hanging="359"/>
      </w:pPr>
      <w:r>
        <w:rPr>
          <w:color w:val="0000FF"/>
        </w:rPr>
        <w:t>Introduction</w:t>
      </w:r>
      <w:r>
        <w:rPr>
          <w:color w:val="0000FF"/>
        </w:rPr>
        <w:tab/>
      </w:r>
      <w:r>
        <w:t>1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Biases and shortcomings in thermal remote sensing of urban T</w:t>
      </w:r>
      <w:r>
        <w:rPr>
          <w:color w:val="0000FF"/>
          <w:vertAlign w:val="subscript"/>
        </w:rPr>
        <w:t xml:space="preserve">surf </w:t>
      </w:r>
      <w:r>
        <w:t>. . . . . . . . .</w:t>
      </w:r>
      <w:r>
        <w:tab/>
        <w:t>6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Research questions and objectives</w:t>
      </w:r>
      <w:r>
        <w:rPr>
          <w:color w:val="0000FF"/>
        </w:rPr>
        <w:tab/>
      </w:r>
      <w:r>
        <w:t xml:space="preserve">. . . . . . . . . . . . </w:t>
      </w:r>
      <w:r>
        <w:t>. . . . . . . . . . . . .</w:t>
      </w:r>
      <w:r>
        <w:tab/>
        <w:t>10</w:t>
      </w:r>
    </w:p>
    <w:p w:rsidR="002F1B05" w:rsidRDefault="00017539">
      <w:pPr>
        <w:tabs>
          <w:tab w:val="center" w:pos="914"/>
          <w:tab w:val="center" w:pos="5200"/>
          <w:tab w:val="right" w:pos="9180"/>
        </w:tabs>
        <w:spacing w:after="160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References</w:t>
      </w:r>
      <w:r>
        <w:rPr>
          <w:color w:val="0000FF"/>
        </w:rPr>
        <w:tab/>
      </w:r>
      <w:r>
        <w:t>. . . . . . . . . . . . . . . . . . . . . . . . . . . . . . . . . . . . . . . .</w:t>
      </w:r>
      <w:r>
        <w:tab/>
        <w:t>12</w:t>
      </w:r>
    </w:p>
    <w:p w:rsidR="002F1B05" w:rsidRDefault="00017539">
      <w:pPr>
        <w:numPr>
          <w:ilvl w:val="0"/>
          <w:numId w:val="1"/>
        </w:numPr>
        <w:spacing w:after="156" w:line="259" w:lineRule="auto"/>
        <w:ind w:hanging="359"/>
      </w:pPr>
      <w:r>
        <w:rPr>
          <w:color w:val="0000FF"/>
        </w:rPr>
        <w:t>An atmospheric correction method to derive hemispherical time-continuous urban</w:t>
      </w:r>
    </w:p>
    <w:p w:rsidR="002F1B05" w:rsidRDefault="00017539">
      <w:pPr>
        <w:tabs>
          <w:tab w:val="center" w:pos="1396"/>
          <w:tab w:val="right" w:pos="9180"/>
        </w:tabs>
        <w:spacing w:after="279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surface temperature</w:t>
      </w:r>
      <w:r>
        <w:rPr>
          <w:color w:val="0000FF"/>
        </w:rPr>
        <w:tab/>
      </w:r>
      <w:r>
        <w:t>14</w:t>
      </w:r>
    </w:p>
    <w:p w:rsidR="002F1B05" w:rsidRDefault="00017539">
      <w:pPr>
        <w:numPr>
          <w:ilvl w:val="1"/>
          <w:numId w:val="1"/>
        </w:numPr>
        <w:spacing w:after="271" w:line="265" w:lineRule="auto"/>
        <w:ind w:hanging="550"/>
      </w:pPr>
      <w:r>
        <w:rPr>
          <w:color w:val="0000FF"/>
        </w:rPr>
        <w:t xml:space="preserve">Introduction </w:t>
      </w:r>
      <w:r>
        <w:t>. . . . . . . . . . . . . . . . . . . . . . . . . . . . . . . . . . . . .</w:t>
      </w:r>
      <w:r>
        <w:tab/>
        <w:t>14</w:t>
      </w:r>
    </w:p>
    <w:p w:rsidR="002F1B05" w:rsidRDefault="00017539">
      <w:pPr>
        <w:numPr>
          <w:ilvl w:val="1"/>
          <w:numId w:val="1"/>
        </w:numPr>
        <w:spacing w:after="271" w:line="265" w:lineRule="auto"/>
        <w:ind w:hanging="550"/>
      </w:pPr>
      <w:r>
        <w:rPr>
          <w:color w:val="0000FF"/>
        </w:rPr>
        <w:t xml:space="preserve">Atmospheric effects on TIR </w:t>
      </w:r>
      <w:r>
        <w:t>. . . . . . . . . . . . . . . . . . . . . . . . . . . . .</w:t>
      </w:r>
      <w:r>
        <w:tab/>
        <w:t>16</w:t>
      </w:r>
    </w:p>
    <w:p w:rsidR="002F1B05" w:rsidRDefault="00017539">
      <w:pPr>
        <w:numPr>
          <w:ilvl w:val="2"/>
          <w:numId w:val="1"/>
        </w:numPr>
        <w:spacing w:after="333" w:line="259" w:lineRule="auto"/>
        <w:ind w:hanging="765"/>
      </w:pPr>
      <w:r>
        <w:rPr>
          <w:color w:val="0000FF"/>
        </w:rPr>
        <w:t xml:space="preserve">Describing radiation as received by a remote sensor </w:t>
      </w:r>
      <w:r>
        <w:t>. . . . . . . . . . . .</w:t>
      </w:r>
      <w:r>
        <w:tab/>
        <w:t>19</w:t>
      </w:r>
    </w:p>
    <w:p w:rsidR="002F1B05" w:rsidRDefault="002F1B05">
      <w:pPr>
        <w:spacing w:after="0" w:line="259" w:lineRule="auto"/>
        <w:ind w:left="-1620" w:right="10800" w:firstLine="0"/>
      </w:pP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Relating TI</w:t>
      </w:r>
      <w:r>
        <w:rPr>
          <w:color w:val="0000FF"/>
        </w:rPr>
        <w:t xml:space="preserve">R and surface temperature </w:t>
      </w:r>
      <w:r>
        <w:t>. . . . . . . . . . . . . . . . . . .</w:t>
      </w:r>
      <w:r>
        <w:tab/>
        <w:t>21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Atmospheric correction of near-ground TIR </w:t>
      </w:r>
      <w:r>
        <w:t>. . . . . . . . . . . . . . . .</w:t>
      </w:r>
      <w:r>
        <w:tab/>
        <w:t>22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A ”rolling lookup table” method for hemispherical atmospheric correction </w:t>
      </w:r>
      <w:r>
        <w:t>. . . .</w:t>
      </w:r>
      <w:r>
        <w:tab/>
        <w:t>25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Study area </w:t>
      </w:r>
      <w:r>
        <w:t>. . . . . . . . .</w:t>
      </w:r>
      <w:r>
        <w:t xml:space="preserve"> . . . . . . . . . . . . . . . . . . . . . . . . .</w:t>
      </w:r>
      <w:r>
        <w:tab/>
        <w:t>26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Modeling path lengths of 3-dimensional terrain </w:t>
      </w:r>
      <w:r>
        <w:t>. . . . . . . . . . . . . .</w:t>
      </w:r>
      <w:r>
        <w:tab/>
        <w:t>29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Modeling hemispherical irradiances </w:t>
      </w:r>
      <w:r>
        <w:t>. . . . . . . . . . . . . . . . . . . .</w:t>
      </w:r>
      <w:r>
        <w:tab/>
        <w:t>30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Evaluation of the method using profiles of upw</w:t>
      </w:r>
      <w:r>
        <w:rPr>
          <w:color w:val="0000FF"/>
        </w:rPr>
        <w:t>elling longwave radiation over a</w:t>
      </w:r>
    </w:p>
    <w:p w:rsidR="002F1B05" w:rsidRDefault="00017539">
      <w:pPr>
        <w:tabs>
          <w:tab w:val="center" w:pos="2275"/>
          <w:tab w:val="center" w:pos="6276"/>
          <w:tab w:val="right" w:pos="9180"/>
        </w:tabs>
        <w:spacing w:after="160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homogeneous planar surface</w:t>
      </w:r>
      <w:r>
        <w:rPr>
          <w:color w:val="0000FF"/>
        </w:rPr>
        <w:tab/>
      </w:r>
      <w:r>
        <w:t>. . . . . . . . . . . . . . . . . . . . . . . . . . . .</w:t>
      </w:r>
      <w:r>
        <w:tab/>
        <w:t>34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Results </w:t>
      </w:r>
      <w:r>
        <w:t>. . . . . . . . . . . . . . . . . . . . . . . . . . . . . . . . . . . . . . . .</w:t>
      </w:r>
      <w:r>
        <w:tab/>
        <w:t>38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lastRenderedPageBreak/>
        <w:t xml:space="preserve">Atmospheric correction magnitudes </w:t>
      </w:r>
      <w:r>
        <w:t>. . . . . .</w:t>
      </w:r>
      <w:r>
        <w:t xml:space="preserve"> . . . . . . . . . . . . . .</w:t>
      </w:r>
      <w:r>
        <w:tab/>
        <w:t>38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Comparing T</w:t>
      </w:r>
      <w:r>
        <w:rPr>
          <w:color w:val="0000FF"/>
          <w:vertAlign w:val="subscript"/>
        </w:rPr>
        <w:t xml:space="preserve">surf </w:t>
      </w:r>
      <w:r>
        <w:rPr>
          <w:color w:val="0000FF"/>
        </w:rPr>
        <w:t xml:space="preserve">from different sensor geometries </w:t>
      </w:r>
      <w:r>
        <w:t>. . . . . . . . . . . . . . . . .</w:t>
      </w:r>
      <w:r>
        <w:tab/>
        <w:t>43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Discussion </w:t>
      </w:r>
      <w:r>
        <w:t>. . . . . . . . . . . . . . . . . . . . . . . . . . . . . . . . . . . . . .</w:t>
      </w:r>
      <w:r>
        <w:tab/>
        <w:t>46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Controls on atmospheric correction magnitude</w:t>
      </w:r>
      <w:r>
        <w:rPr>
          <w:color w:val="0000FF"/>
        </w:rPr>
        <w:tab/>
      </w:r>
      <w:r>
        <w:t>. .</w:t>
      </w:r>
      <w:r>
        <w:t xml:space="preserve"> . . . . . . . . . . . .</w:t>
      </w:r>
      <w:r>
        <w:tab/>
        <w:t>46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The effect of non-uniform pyrgeometer spectral dome transmittance on</w:t>
      </w:r>
    </w:p>
    <w:p w:rsidR="002F1B05" w:rsidRDefault="00017539">
      <w:pPr>
        <w:tabs>
          <w:tab w:val="center" w:pos="2740"/>
          <w:tab w:val="center" w:pos="6366"/>
          <w:tab w:val="right" w:pos="9180"/>
        </w:tabs>
        <w:spacing w:after="160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correction magnitudes</w:t>
      </w:r>
      <w:r>
        <w:rPr>
          <w:color w:val="0000FF"/>
        </w:rPr>
        <w:tab/>
      </w:r>
      <w:r>
        <w:t>. . . . . . . . . . . . . . . . . . . . . . . . . . .</w:t>
      </w:r>
      <w:r>
        <w:tab/>
        <w:t>47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The effect of sensor sampling geometry on remote sensed T</w:t>
      </w:r>
      <w:r>
        <w:rPr>
          <w:color w:val="0000FF"/>
          <w:vertAlign w:val="subscript"/>
        </w:rPr>
        <w:t xml:space="preserve">surf </w:t>
      </w:r>
      <w:r>
        <w:t>. . . . . .</w:t>
      </w:r>
      <w:r>
        <w:tab/>
        <w:t>51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Sensor placement sensitivity testing</w:t>
      </w:r>
      <w:r>
        <w:rPr>
          <w:color w:val="0000FF"/>
        </w:rPr>
        <w:tab/>
      </w:r>
      <w:r>
        <w:t>. . . . . . . . . . . . . . . . . . . . . . . .</w:t>
      </w:r>
      <w:r>
        <w:tab/>
        <w:t>53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A practical parameterization</w:t>
      </w:r>
      <w:r>
        <w:rPr>
          <w:color w:val="0000FF"/>
        </w:rPr>
        <w:tab/>
      </w:r>
      <w:r>
        <w:t>. . . . . . . . . . . . . . . . . . . . . . . . . . . .</w:t>
      </w:r>
      <w:r>
        <w:tab/>
        <w:t>61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Conclusions </w:t>
      </w:r>
      <w:r>
        <w:t xml:space="preserve">. . . . . . . . . . . . . . . . . . . . . . . . . . . . . . . . . . </w:t>
      </w:r>
      <w:r>
        <w:t>. . .</w:t>
      </w:r>
      <w:r>
        <w:tab/>
        <w:t>64</w:t>
      </w:r>
    </w:p>
    <w:p w:rsidR="002F1B05" w:rsidRDefault="00017539">
      <w:pPr>
        <w:tabs>
          <w:tab w:val="center" w:pos="914"/>
          <w:tab w:val="center" w:pos="5200"/>
          <w:tab w:val="right" w:pos="9180"/>
        </w:tabs>
        <w:spacing w:after="160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References</w:t>
      </w:r>
      <w:r>
        <w:rPr>
          <w:color w:val="0000FF"/>
        </w:rPr>
        <w:tab/>
      </w:r>
      <w:r>
        <w:t>. . . . . . . . . . . . . . . . . . . . . . . . . . . . . . . . . . . . . . . .</w:t>
      </w:r>
      <w:r>
        <w:tab/>
        <w:t>66</w:t>
      </w:r>
    </w:p>
    <w:p w:rsidR="002F1B05" w:rsidRDefault="00017539">
      <w:pPr>
        <w:numPr>
          <w:ilvl w:val="0"/>
          <w:numId w:val="1"/>
        </w:numPr>
        <w:spacing w:after="3" w:line="259" w:lineRule="auto"/>
        <w:ind w:hanging="359"/>
      </w:pPr>
      <w:r>
        <w:rPr>
          <w:color w:val="0000FF"/>
        </w:rPr>
        <w:t>A climatology of urban surface heat islands derived from hemispherical radiometric</w:t>
      </w:r>
    </w:p>
    <w:p w:rsidR="002F1B05" w:rsidRDefault="00017539">
      <w:pPr>
        <w:tabs>
          <w:tab w:val="center" w:pos="1442"/>
          <w:tab w:val="right" w:pos="9180"/>
        </w:tabs>
        <w:spacing w:after="160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surface temperatures</w:t>
      </w:r>
      <w:r>
        <w:rPr>
          <w:color w:val="0000FF"/>
        </w:rPr>
        <w:tab/>
      </w:r>
      <w:r>
        <w:t>70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Introduction </w:t>
      </w:r>
      <w:r>
        <w:t>. . . . . . . . . . . . . . . .</w:t>
      </w:r>
      <w:r>
        <w:t xml:space="preserve"> . . . . . . . . . . . . . . . . . . . . .</w:t>
      </w:r>
      <w:r>
        <w:tab/>
        <w:t>70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Bias in thermal remote sensing </w:t>
      </w:r>
      <w:r>
        <w:t>. . . . . . . . . . . . . . . . . . . . . . .</w:t>
      </w:r>
      <w:r>
        <w:tab/>
        <w:t>72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Methods </w:t>
      </w:r>
      <w:r>
        <w:t>. . . . . . . . . . . . . . . . . . . . . . . . . . . . . . . . . . . . . . .</w:t>
      </w:r>
      <w:r>
        <w:tab/>
        <w:t>74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A method to retrieve hemispherical radiometric urban T</w:t>
      </w:r>
      <w:r>
        <w:rPr>
          <w:color w:val="0000FF"/>
          <w:vertAlign w:val="subscript"/>
        </w:rPr>
        <w:t xml:space="preserve">surf </w:t>
      </w:r>
      <w:r>
        <w:t>. . . . . . . .</w:t>
      </w:r>
      <w:r>
        <w:tab/>
        <w:t>75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Evaluation and parameterization </w:t>
      </w:r>
      <w:r>
        <w:t>. . . . . . . . . . . . . . . . . . . . . .</w:t>
      </w:r>
      <w:r>
        <w:tab/>
        <w:t>77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Study area </w:t>
      </w:r>
      <w:r>
        <w:t>. . . . . . . . . . . . . . . . . . . . . . . . . . . . . . . . . .</w:t>
      </w:r>
      <w:r>
        <w:tab/>
        <w:t>78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sUHI analysis </w:t>
      </w:r>
      <w:r>
        <w:t>. .</w:t>
      </w:r>
      <w:r>
        <w:t xml:space="preserve"> . . . . . . . . . . . . . . . . . . . . . . . . . . . . . .</w:t>
      </w:r>
      <w:r>
        <w:tab/>
        <w:t>81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Results </w:t>
      </w:r>
      <w:r>
        <w:t>. . . . . . . . . . . . . . . . . . . . . . . . . . . . . . . . . . . . . . . .</w:t>
      </w:r>
      <w:r>
        <w:tab/>
        <w:t>83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Diurnal and seasonal variability in sUHI magnitudes </w:t>
      </w:r>
      <w:r>
        <w:t>. . . . . . . . . . .</w:t>
      </w:r>
      <w:r>
        <w:tab/>
        <w:t>83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The effect of sensor-sur</w:t>
      </w:r>
      <w:r>
        <w:rPr>
          <w:color w:val="0000FF"/>
        </w:rPr>
        <w:t xml:space="preserve">face geometry on sUHI </w:t>
      </w:r>
      <w:r>
        <w:t>. . . . . . . . . . . . . .</w:t>
      </w:r>
      <w:r>
        <w:tab/>
        <w:t>88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The effect of meteorological conditions on sUHI</w:t>
      </w:r>
      <w:r>
        <w:rPr>
          <w:color w:val="0000FF"/>
        </w:rPr>
        <w:tab/>
      </w:r>
      <w:r>
        <w:t>. . . . . . . . . . . . .</w:t>
      </w:r>
      <w:r>
        <w:tab/>
        <w:t>90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The effect of rural/non-urban characteristics on sUHI </w:t>
      </w:r>
      <w:r>
        <w:t>. . . . . . . . . . .</w:t>
      </w:r>
      <w:r>
        <w:tab/>
        <w:t>93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 xml:space="preserve">Discussion </w:t>
      </w:r>
      <w:r>
        <w:t>. . . . . . . . . . . . . . . . . . . . . . . . . . . . . . . . . . . . . .</w:t>
      </w:r>
      <w:r>
        <w:tab/>
        <w:t>95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lastRenderedPageBreak/>
        <w:t xml:space="preserve">Diurnal patterns of sUHI </w:t>
      </w:r>
      <w:r>
        <w:t>. . . . . . . . . . . . . . . . . . . . . . . . . .</w:t>
      </w:r>
      <w:r>
        <w:tab/>
        <w:t>95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Seasonal patterns of sUHI</w:t>
      </w:r>
      <w:r>
        <w:rPr>
          <w:color w:val="0000FF"/>
        </w:rPr>
        <w:tab/>
      </w:r>
      <w:r>
        <w:t>. . . . . . . . . . . . . . . . . . . . . . . . .</w:t>
      </w:r>
      <w:r>
        <w:tab/>
        <w:t>97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>Sensor-surface-sun</w:t>
      </w:r>
      <w:r>
        <w:rPr>
          <w:color w:val="0000FF"/>
        </w:rPr>
        <w:t xml:space="preserve"> geometries and sUHI</w:t>
      </w:r>
      <w:r>
        <w:rPr>
          <w:color w:val="0000FF"/>
        </w:rPr>
        <w:tab/>
      </w:r>
      <w:r>
        <w:t>. . . . . . . . . . . . . . . . .</w:t>
      </w:r>
      <w:r>
        <w:tab/>
        <w:t>99</w:t>
      </w:r>
    </w:p>
    <w:p w:rsidR="002F1B05" w:rsidRDefault="00017539">
      <w:pPr>
        <w:numPr>
          <w:ilvl w:val="2"/>
          <w:numId w:val="1"/>
        </w:numPr>
        <w:spacing w:after="160" w:line="259" w:lineRule="auto"/>
        <w:ind w:hanging="765"/>
      </w:pPr>
      <w:r>
        <w:rPr>
          <w:color w:val="0000FF"/>
        </w:rPr>
        <w:t xml:space="preserve">Meteorological controls on sUHI </w:t>
      </w:r>
      <w:r>
        <w:t>. . . . . . . . . . . . . . . . . . . . . . 100</w:t>
      </w:r>
    </w:p>
    <w:p w:rsidR="002F1B05" w:rsidRDefault="00017539">
      <w:pPr>
        <w:numPr>
          <w:ilvl w:val="1"/>
          <w:numId w:val="1"/>
        </w:numPr>
        <w:spacing w:after="160" w:line="259" w:lineRule="auto"/>
        <w:ind w:hanging="550"/>
      </w:pPr>
      <w:r>
        <w:rPr>
          <w:color w:val="0000FF"/>
        </w:rPr>
        <w:t>Conclusion</w:t>
      </w:r>
      <w:r>
        <w:rPr>
          <w:color w:val="0000FF"/>
        </w:rPr>
        <w:tab/>
      </w:r>
      <w:r>
        <w:t>. . . . . . . . . . . . . . . . . . . . . . . . . . . . . . . . . . . . . 102</w:t>
      </w:r>
    </w:p>
    <w:p w:rsidR="002F1B05" w:rsidRDefault="00017539">
      <w:pPr>
        <w:tabs>
          <w:tab w:val="center" w:pos="914"/>
          <w:tab w:val="right" w:pos="9180"/>
        </w:tabs>
        <w:spacing w:after="160" w:line="259" w:lineRule="auto"/>
        <w:ind w:firstLine="0"/>
      </w:pPr>
      <w:r>
        <w:rPr>
          <w:sz w:val="22"/>
        </w:rPr>
        <w:tab/>
      </w:r>
      <w:r>
        <w:rPr>
          <w:color w:val="0000FF"/>
        </w:rPr>
        <w:t>References</w:t>
      </w:r>
      <w:r>
        <w:rPr>
          <w:color w:val="0000FF"/>
        </w:rPr>
        <w:tab/>
      </w:r>
      <w:r>
        <w:t>. . . . . . . . .</w:t>
      </w:r>
      <w:r>
        <w:t xml:space="preserve"> . . . . . . . . . . . . . . . . . . . . . . . . . . . . . . . 105</w:t>
      </w:r>
    </w:p>
    <w:p w:rsidR="002F1B05" w:rsidRDefault="00017539">
      <w:pPr>
        <w:numPr>
          <w:ilvl w:val="0"/>
          <w:numId w:val="1"/>
        </w:numPr>
        <w:spacing w:after="279" w:line="259" w:lineRule="auto"/>
        <w:ind w:hanging="359"/>
      </w:pPr>
      <w:r>
        <w:rPr>
          <w:color w:val="0000FF"/>
        </w:rPr>
        <w:t>Concluding statements</w:t>
      </w:r>
      <w:r>
        <w:rPr>
          <w:color w:val="0000FF"/>
        </w:rPr>
        <w:tab/>
      </w:r>
      <w:r>
        <w:t>107</w:t>
      </w:r>
    </w:p>
    <w:p w:rsidR="002F1B05" w:rsidRDefault="00017539">
      <w:pPr>
        <w:numPr>
          <w:ilvl w:val="1"/>
          <w:numId w:val="1"/>
        </w:numPr>
        <w:spacing w:after="271" w:line="265" w:lineRule="auto"/>
        <w:ind w:hanging="550"/>
      </w:pPr>
      <w:r>
        <w:rPr>
          <w:color w:val="0000FF"/>
        </w:rPr>
        <w:t xml:space="preserve">Final remarks </w:t>
      </w:r>
      <w:r>
        <w:t>. . . . . . . . . . . . . . . . . . . . . . . . . . . . . . . . . . . . 109</w:t>
      </w:r>
    </w:p>
    <w:p w:rsidR="002F1B05" w:rsidRDefault="00017539">
      <w:pPr>
        <w:tabs>
          <w:tab w:val="center" w:pos="914"/>
          <w:tab w:val="right" w:pos="9180"/>
        </w:tabs>
        <w:spacing w:after="508" w:line="265" w:lineRule="auto"/>
        <w:ind w:firstLine="0"/>
      </w:pPr>
      <w:r>
        <w:rPr>
          <w:sz w:val="22"/>
        </w:rPr>
        <w:tab/>
      </w:r>
      <w:r>
        <w:rPr>
          <w:color w:val="0000FF"/>
        </w:rPr>
        <w:t>References</w:t>
      </w:r>
      <w:r>
        <w:rPr>
          <w:color w:val="0000FF"/>
        </w:rPr>
        <w:tab/>
      </w:r>
      <w:r>
        <w:t>. . . . . . . . . . . . . . . . . . . . . . . . . . . . . . .</w:t>
      </w:r>
      <w:r>
        <w:t xml:space="preserve"> . . . . . . . . . 110</w:t>
      </w:r>
    </w:p>
    <w:p w:rsidR="002F1B05" w:rsidRDefault="00017539">
      <w:pPr>
        <w:tabs>
          <w:tab w:val="center" w:pos="4178"/>
          <w:tab w:val="right" w:pos="9180"/>
        </w:tabs>
        <w:spacing w:after="3" w:line="259" w:lineRule="auto"/>
        <w:ind w:left="-15" w:firstLine="0"/>
      </w:pPr>
      <w:r>
        <w:rPr>
          <w:color w:val="0000FF"/>
        </w:rPr>
        <w:t>A</w:t>
      </w:r>
      <w:r>
        <w:rPr>
          <w:color w:val="0000FF"/>
        </w:rPr>
        <w:tab/>
        <w:t>Transmittances for a range of water vapor mass den</w:t>
      </w:r>
      <w:r>
        <w:rPr>
          <w:color w:val="0000FF"/>
        </w:rPr>
        <w:t>s</w:t>
      </w:r>
      <w:r>
        <w:rPr>
          <w:color w:val="0000FF"/>
        </w:rPr>
        <w:t>ities and path lengths.</w:t>
      </w:r>
      <w:r>
        <w:rPr>
          <w:color w:val="0000FF"/>
        </w:rPr>
        <w:tab/>
      </w:r>
      <w:r>
        <w:t>112</w:t>
      </w:r>
      <w:bookmarkStart w:id="0" w:name="_GoBack"/>
      <w:bookmarkEnd w:id="0"/>
    </w:p>
    <w:sectPr w:rsidR="002F1B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20" w:right="953" w:bottom="506" w:left="1620" w:header="187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539" w:rsidRDefault="00017539">
      <w:pPr>
        <w:spacing w:after="0" w:line="240" w:lineRule="auto"/>
      </w:pPr>
      <w:r>
        <w:separator/>
      </w:r>
    </w:p>
  </w:endnote>
  <w:endnote w:type="continuationSeparator" w:id="0">
    <w:p w:rsidR="00017539" w:rsidRDefault="0001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B05" w:rsidRDefault="002F1B05">
    <w:pPr>
      <w:spacing w:after="16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B05" w:rsidRDefault="002F1B05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B05" w:rsidRDefault="002F1B05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539" w:rsidRDefault="00017539">
      <w:pPr>
        <w:spacing w:after="0" w:line="277" w:lineRule="auto"/>
        <w:ind w:right="487" w:firstLine="279"/>
        <w:jc w:val="both"/>
      </w:pPr>
      <w:r>
        <w:separator/>
      </w:r>
    </w:p>
  </w:footnote>
  <w:footnote w:type="continuationSeparator" w:id="0">
    <w:p w:rsidR="00017539" w:rsidRDefault="00017539">
      <w:pPr>
        <w:spacing w:after="0" w:line="277" w:lineRule="auto"/>
        <w:ind w:right="487" w:firstLine="279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B05" w:rsidRDefault="00017539">
    <w:pPr>
      <w:spacing w:after="0" w:line="259" w:lineRule="auto"/>
      <w:ind w:right="4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5F4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B05" w:rsidRDefault="00017539">
    <w:pPr>
      <w:spacing w:after="0" w:line="259" w:lineRule="auto"/>
      <w:ind w:right="4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5F4F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B05" w:rsidRDefault="00017539">
    <w:pPr>
      <w:spacing w:after="0" w:line="259" w:lineRule="auto"/>
      <w:ind w:right="48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449"/>
    <w:multiLevelType w:val="hybridMultilevel"/>
    <w:tmpl w:val="399A56CC"/>
    <w:lvl w:ilvl="0" w:tplc="41C8284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C0ED0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0C658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2321A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45868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A7282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ED01E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E213C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E7B16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C6056"/>
    <w:multiLevelType w:val="multilevel"/>
    <w:tmpl w:val="1116D0CC"/>
    <w:lvl w:ilvl="0">
      <w:start w:val="1"/>
      <w:numFmt w:val="decimal"/>
      <w:lvlText w:val="%1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6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9E0988"/>
    <w:multiLevelType w:val="hybridMultilevel"/>
    <w:tmpl w:val="939EBC1A"/>
    <w:lvl w:ilvl="0" w:tplc="D15A1F20">
      <w:start w:val="8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8B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FECD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4B2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3822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AD1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A54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46D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49C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C77B2B"/>
    <w:multiLevelType w:val="hybridMultilevel"/>
    <w:tmpl w:val="F5426F98"/>
    <w:lvl w:ilvl="0" w:tplc="ADEA7B6C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525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6F69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AE12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E767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CAAB40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846B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42ED4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6205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3A3F40"/>
    <w:multiLevelType w:val="hybridMultilevel"/>
    <w:tmpl w:val="837211A8"/>
    <w:lvl w:ilvl="0" w:tplc="DF6CCBF0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8477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CED1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A2C60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C65AC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0C8DD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6CB33E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5E0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668D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6D274E"/>
    <w:multiLevelType w:val="hybridMultilevel"/>
    <w:tmpl w:val="384AE7E4"/>
    <w:lvl w:ilvl="0" w:tplc="A326869C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4DF58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89354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83EDA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241CA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00EF8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543E4A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06506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C05DA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694F2E"/>
    <w:multiLevelType w:val="hybridMultilevel"/>
    <w:tmpl w:val="B4443EE6"/>
    <w:lvl w:ilvl="0" w:tplc="55C0243C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C168E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B69290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A3B4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02F38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6DD14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765158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C31A6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C5E9E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05"/>
    <w:rsid w:val="00017539"/>
    <w:rsid w:val="002F1B05"/>
    <w:rsid w:val="00F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2F9A"/>
  <w15:docId w15:val="{A9A090A3-BD30-4F14-9C13-5A52A956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368" w:lineRule="auto"/>
      <w:ind w:firstLine="636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4" w:line="265" w:lineRule="auto"/>
      <w:ind w:left="121" w:hanging="10"/>
      <w:outlineLvl w:val="0"/>
    </w:pPr>
    <w:rPr>
      <w:rFonts w:ascii="Calibri" w:eastAsia="Calibri" w:hAnsi="Calibri" w:cs="Calibri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3" w:line="263" w:lineRule="auto"/>
      <w:ind w:left="10" w:right="109" w:hanging="10"/>
      <w:outlineLvl w:val="1"/>
    </w:pPr>
    <w:rPr>
      <w:rFonts w:ascii="Calibri" w:eastAsia="Calibri" w:hAnsi="Calibri" w:cs="Calibri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3" w:line="263" w:lineRule="auto"/>
      <w:ind w:left="10" w:right="109" w:hanging="10"/>
      <w:outlineLvl w:val="2"/>
    </w:pPr>
    <w:rPr>
      <w:rFonts w:ascii="Calibri" w:eastAsia="Calibri" w:hAnsi="Calibri" w:cs="Calibri"/>
      <w:color w:val="000000"/>
      <w:sz w:val="3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47"/>
      <w:ind w:left="10" w:hanging="10"/>
      <w:outlineLvl w:val="3"/>
    </w:pPr>
    <w:rPr>
      <w:rFonts w:ascii="Calibri" w:eastAsia="Calibri" w:hAnsi="Calibri" w:cs="Calibri"/>
      <w:color w:val="000000"/>
      <w:sz w:val="29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47"/>
      <w:ind w:left="10" w:hanging="10"/>
      <w:outlineLvl w:val="4"/>
    </w:pPr>
    <w:rPr>
      <w:rFonts w:ascii="Calibri" w:eastAsia="Calibri" w:hAnsi="Calibri" w:cs="Calibri"/>
      <w:color w:val="000000"/>
      <w:sz w:val="29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5" w:line="368" w:lineRule="auto"/>
      <w:ind w:firstLine="636"/>
      <w:outlineLvl w:val="5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7" w:lineRule="auto"/>
      <w:ind w:right="296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9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color w:val="000000"/>
      <w:sz w:val="29"/>
    </w:rPr>
  </w:style>
  <w:style w:type="character" w:customStyle="1" w:styleId="Heading6Char">
    <w:name w:val="Heading 6 Char"/>
    <w:link w:val="Heading6"/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Michael A. Allen</dc:creator>
  <cp:keywords/>
  <cp:lastModifiedBy>Michael Allen</cp:lastModifiedBy>
  <cp:revision>2</cp:revision>
  <dcterms:created xsi:type="dcterms:W3CDTF">2017-05-04T19:53:00Z</dcterms:created>
  <dcterms:modified xsi:type="dcterms:W3CDTF">2017-05-04T19:53:00Z</dcterms:modified>
</cp:coreProperties>
</file>