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jc w:val="center"/>
      </w:pPr>
      <w:r>
        <w:rPr>
          <w:sz w:val="96"/>
        </w:rPr>
        <w:t>🔐</w:t>
      </w:r>
    </w:p>
    <w:p>
      <w:pPr>
        <w:spacing w:before="200" w:after="160"/>
        <w:jc w:val="center"/>
      </w:pPr>
      <w:r>
        <w:rPr>
          <w:rFonts w:ascii="Calibri" w:hAnsi="Calibri"/>
          <w:b/>
          <w:color w:val="1F4E79"/>
          <w:sz w:val="48"/>
        </w:rPr>
        <w:t>PHISHING WEBSITE DETECTION</w:t>
      </w:r>
    </w:p>
    <w:p>
      <w:pPr>
        <w:spacing w:after="480"/>
        <w:jc w:val="center"/>
      </w:pPr>
      <w:r>
        <w:rPr>
          <w:rFonts w:ascii="Calibri" w:hAnsi="Calibri"/>
          <w:i/>
          <w:color w:val="2E75B6"/>
          <w:sz w:val="28"/>
        </w:rPr>
        <w:t>Using Machine Learning Classification Techniques</w:t>
      </w:r>
    </w:p>
    <w:p>
      <w:pPr>
        <w:spacing w:after="2000"/>
        <w:jc w:val="center"/>
      </w:pPr>
      <w:r>
        <w:rPr>
          <w:rFonts w:ascii="Calibri" w:hAnsi="Calibri"/>
          <w:b/>
          <w:color w:val="646464"/>
          <w:sz w:val="26"/>
        </w:rPr>
        <w:t>PROJECT REPORT</w:t>
      </w:r>
    </w:p>
    <w:tbl>
      <w:tblPr>
        <w:tblW w:type="auto" w:w="0"/>
        <w:jc w:val="center"/>
        <w:tblLayout w:type="fixed"/>
        <w:tblLook w:firstColumn="1" w:firstRow="1" w:lastColumn="0" w:lastRow="0" w:noHBand="0" w:noVBand="1" w:val="04A0"/>
        <w:tblBorders>
          <w:top w:val="single" w:sz="4" w:space="0" w:color="E0E0E0"/>
          <w:bottom w:val="single" w:sz="4" w:space="0" w:color="E0E0E0"/>
          <w:left w:val="none"/>
          <w:right w:val="none"/>
          <w:insideH w:val="single" w:sz="4" w:space="0" w:color="E0E0E0"/>
          <w:insideV w:val="none"/>
        </w:tblBorders>
      </w:tblPr>
      <w:tblGrid>
        <w:gridCol w:w="4680"/>
        <w:gridCol w:w="4680"/>
      </w:tblGrid>
      <w:tr>
        <w:tc>
          <w:tcPr>
            <w:tcW w:type="dxa" w:w="3168"/>
            <w:tcMar>
              <w:top w:w="60" w:type="dxa"/>
              <w:bottom w:w="60" w:type="dxa"/>
              <w:left w:w="100" w:type="dxa"/>
              <w:right w:w="100" w:type="dxa"/>
            </w:tcMar>
          </w:tcPr>
          <w:p>
            <w:pPr>
              <w:spacing w:after="80"/>
              <w:jc w:val="right"/>
            </w:pPr>
            <w:r>
              <w:rPr>
                <w:b/>
                <w:color w:val="1F4E79"/>
                <w:sz w:val="21"/>
              </w:rPr>
              <w:t>Submitted by</w:t>
            </w:r>
          </w:p>
        </w:tc>
        <w:tc>
          <w:tcPr>
            <w:tcW w:type="dxa" w:w="4752"/>
            <w:tcMar>
              <w:top w:w="60" w:type="dxa"/>
              <w:bottom w:w="60" w:type="dxa"/>
              <w:left w:w="100" w:type="dxa"/>
              <w:right w:w="100" w:type="dxa"/>
            </w:tcMar>
          </w:tcPr>
          <w:p>
            <w:pPr>
              <w:spacing w:after="80"/>
              <w:jc w:val="left"/>
            </w:pPr>
            <w:r>
              <w:rPr>
                <w:color w:val="282828"/>
                <w:sz w:val="21"/>
              </w:rPr>
              <w:t>[Your Name]</w:t>
            </w:r>
          </w:p>
        </w:tc>
      </w:tr>
      <w:tr>
        <w:tc>
          <w:tcPr>
            <w:tcW w:type="dxa" w:w="3168"/>
            <w:tcMar>
              <w:top w:w="60" w:type="dxa"/>
              <w:bottom w:w="60" w:type="dxa"/>
              <w:left w:w="100" w:type="dxa"/>
              <w:right w:w="100" w:type="dxa"/>
            </w:tcMar>
          </w:tcPr>
          <w:p>
            <w:pPr>
              <w:spacing w:after="80"/>
              <w:jc w:val="right"/>
            </w:pPr>
            <w:r>
              <w:rPr>
                <w:b/>
                <w:color w:val="1F4E79"/>
                <w:sz w:val="21"/>
              </w:rPr>
              <w:t>Batch</w:t>
            </w:r>
          </w:p>
        </w:tc>
        <w:tc>
          <w:tcPr>
            <w:tcW w:type="dxa" w:w="4752"/>
            <w:tcMar>
              <w:top w:w="60" w:type="dxa"/>
              <w:bottom w:w="60" w:type="dxa"/>
              <w:left w:w="100" w:type="dxa"/>
              <w:right w:w="100" w:type="dxa"/>
            </w:tcMar>
          </w:tcPr>
          <w:p>
            <w:pPr>
              <w:spacing w:after="80"/>
              <w:jc w:val="left"/>
            </w:pPr>
            <w:r>
              <w:rPr>
                <w:color w:val="282828"/>
                <w:sz w:val="21"/>
              </w:rPr>
              <w:t>[Batch / Roll No.]</w:t>
            </w:r>
          </w:p>
        </w:tc>
      </w:tr>
      <w:tr>
        <w:tc>
          <w:tcPr>
            <w:tcW w:type="dxa" w:w="3168"/>
            <w:tcMar>
              <w:top w:w="60" w:type="dxa"/>
              <w:bottom w:w="60" w:type="dxa"/>
              <w:left w:w="100" w:type="dxa"/>
              <w:right w:w="100" w:type="dxa"/>
            </w:tcMar>
          </w:tcPr>
          <w:p>
            <w:pPr>
              <w:spacing w:after="80"/>
              <w:jc w:val="right"/>
            </w:pPr>
            <w:r>
              <w:rPr>
                <w:b/>
                <w:color w:val="1F4E79"/>
                <w:sz w:val="21"/>
              </w:rPr>
              <w:t>Date</w:t>
            </w:r>
          </w:p>
        </w:tc>
        <w:tc>
          <w:tcPr>
            <w:tcW w:type="dxa" w:w="4752"/>
            <w:tcMar>
              <w:top w:w="60" w:type="dxa"/>
              <w:bottom w:w="60" w:type="dxa"/>
              <w:left w:w="100" w:type="dxa"/>
              <w:right w:w="100" w:type="dxa"/>
            </w:tcMar>
          </w:tcPr>
          <w:p>
            <w:pPr>
              <w:spacing w:after="80"/>
              <w:jc w:val="left"/>
            </w:pPr>
            <w:r>
              <w:rPr>
                <w:color w:val="282828"/>
                <w:sz w:val="21"/>
              </w:rPr>
              <w:t>19 August 2026</w:t>
            </w:r>
          </w:p>
        </w:tc>
      </w:tr>
      <w:tr>
        <w:tc>
          <w:tcPr>
            <w:tcW w:type="dxa" w:w="3168"/>
            <w:tcMar>
              <w:top w:w="60" w:type="dxa"/>
              <w:bottom w:w="60" w:type="dxa"/>
              <w:left w:w="100" w:type="dxa"/>
              <w:right w:w="100" w:type="dxa"/>
            </w:tcMar>
          </w:tcPr>
          <w:p>
            <w:pPr>
              <w:spacing w:after="80"/>
              <w:jc w:val="right"/>
            </w:pPr>
            <w:r>
              <w:rPr>
                <w:b/>
                <w:color w:val="1F4E79"/>
                <w:sz w:val="21"/>
              </w:rPr>
              <w:t>Domain</w:t>
            </w:r>
          </w:p>
        </w:tc>
        <w:tc>
          <w:tcPr>
            <w:tcW w:type="dxa" w:w="4752"/>
            <w:tcMar>
              <w:top w:w="60" w:type="dxa"/>
              <w:bottom w:w="60" w:type="dxa"/>
              <w:left w:w="100" w:type="dxa"/>
              <w:right w:w="100" w:type="dxa"/>
            </w:tcMar>
          </w:tcPr>
          <w:p>
            <w:pPr>
              <w:spacing w:after="80"/>
              <w:jc w:val="left"/>
            </w:pPr>
            <w:r>
              <w:rPr>
                <w:color w:val="282828"/>
                <w:sz w:val="21"/>
              </w:rPr>
              <w:t>Machine Learning / Cybersecurity</w:t>
            </w:r>
          </w:p>
        </w:tc>
      </w:tr>
    </w:tbl>
    <w:p>
      <w:r>
        <w:br w:type="page"/>
      </w:r>
    </w:p>
    <w:p>
      <w:pPr>
        <w:keepNext/>
        <w:spacing w:before="280" w:after="80"/>
      </w:pPr>
      <w:r>
        <w:rPr>
          <w:rFonts w:ascii="Calibri" w:hAnsi="Calibri"/>
          <w:b/>
          <w:color w:val="1F4E79"/>
          <w:sz w:val="28"/>
        </w:rPr>
        <w:t>1. Abstract</w:t>
      </w:r>
    </w:p>
    <w:p>
      <w:pPr>
        <w:spacing w:after="80" w:line="276" w:lineRule="auto"/>
      </w:pPr>
      <w:r>
        <w:rPr>
          <w:sz w:val="21"/>
        </w:rPr>
        <w:t>Phishing websites imitate legitimate platforms to steal sensitive user information such as passwords and financial data, making automated detection a critical cybersecurity need. This project builds a machine learning system that classifies websites as phishing or legitimate using 20 URL, domain, and content-based features extracted from a labelled dataset of 25,000 websites. After data cleaning, exploratory analysis, and preprocessing, three classification models — Logistic Regression, Decision Tree, and Random Forest — were trained and compared. Random Forest was selected as the best-performing model and further improved through hyperparameter tuning with GridSearchCV. The tuned model achieved 97.16% accuracy and a 96.50% F1-score on unseen test data. The final model was deployed as an interactive Streamlit web application that lets a user input website features and receive a real-time phishing prediction with confidence score.</w:t>
      </w:r>
    </w:p>
    <w:p>
      <w:pPr>
        <w:keepNext/>
        <w:spacing w:before="280" w:after="80"/>
      </w:pPr>
      <w:r>
        <w:rPr>
          <w:rFonts w:ascii="Calibri" w:hAnsi="Calibri"/>
          <w:b/>
          <w:color w:val="1F4E79"/>
          <w:sz w:val="28"/>
        </w:rPr>
        <w:t>2. Introduction</w:t>
      </w:r>
    </w:p>
    <w:p>
      <w:pPr>
        <w:spacing w:after="80" w:line="276" w:lineRule="auto"/>
      </w:pPr>
      <w:r>
        <w:rPr>
          <w:sz w:val="21"/>
        </w:rPr>
        <w:t>Phishing is one of the most common cyberattack vectors, responsible for a large share of data breaches and financial fraud worldwide. Attackers craft fake websites that closely resemble trusted brands to trick users into revealing credentials. Manual detection through blacklists is slow and cannot keep pace with newly created phishing domains, which often exist for only a few hours. Machine learning offers a scalable alternative: by learning patterns from structural and behavioural characteristics of URLs and web pages — such as URL length, use of IP addresses, HTTPS presence, domain age, and embedded form counts — a trained model can flag suspicious websites automatically, even ones it has never seen before.</w:t>
      </w:r>
    </w:p>
    <w:p>
      <w:pPr>
        <w:spacing w:after="80" w:line="276" w:lineRule="auto"/>
      </w:pPr>
      <w:r>
        <w:rPr>
          <w:sz w:val="21"/>
        </w:rPr>
        <w:t>This project addresses that problem end-to-end: cleaning and exploring a real-world phishing dataset, engineering a reliable preprocessing pipeline, training and comparing multiple classifiers, tuning the best model, and packaging it into a usable prediction dashboard.</w:t>
      </w:r>
    </w:p>
    <w:p>
      <w:pPr>
        <w:keepNext/>
        <w:spacing w:before="280" w:after="80"/>
      </w:pPr>
      <w:r>
        <w:rPr>
          <w:rFonts w:ascii="Calibri" w:hAnsi="Calibri"/>
          <w:b/>
          <w:color w:val="1F4E79"/>
          <w:sz w:val="28"/>
        </w:rPr>
        <w:t>3. Objectives</w:t>
      </w:r>
    </w:p>
    <w:p>
      <w:pPr>
        <w:spacing w:after="60" w:line="276" w:lineRule="auto"/>
        <w:ind w:left="360"/>
      </w:pPr>
      <w:r>
        <w:rPr>
          <w:color w:val="1F4E79"/>
          <w:sz w:val="16"/>
        </w:rPr>
        <w:t xml:space="preserve">●  </w:t>
      </w:r>
      <w:r>
        <w:rPr>
          <w:sz w:val="21"/>
        </w:rPr>
        <w:t>Clean and preprocess the raw phishing website dataset, resolving missing values, invalid entries, and out-of-range values.</w:t>
      </w:r>
    </w:p>
    <w:p>
      <w:pPr>
        <w:spacing w:after="60" w:line="276" w:lineRule="auto"/>
        <w:ind w:left="360"/>
      </w:pPr>
      <w:r>
        <w:rPr>
          <w:color w:val="1F4E79"/>
          <w:sz w:val="16"/>
        </w:rPr>
        <w:t xml:space="preserve">●  </w:t>
      </w:r>
      <w:r>
        <w:rPr>
          <w:sz w:val="21"/>
        </w:rPr>
        <w:t>Perform exploratory data analysis (EDA) to understand feature distributions and their relationship with the phishing label.</w:t>
      </w:r>
    </w:p>
    <w:p>
      <w:pPr>
        <w:spacing w:after="60" w:line="276" w:lineRule="auto"/>
        <w:ind w:left="360"/>
      </w:pPr>
      <w:r>
        <w:rPr>
          <w:color w:val="1F4E79"/>
          <w:sz w:val="16"/>
        </w:rPr>
        <w:t xml:space="preserve">●  </w:t>
      </w:r>
      <w:r>
        <w:rPr>
          <w:sz w:val="21"/>
        </w:rPr>
        <w:t>Train and compare at least three classification algorithms using accuracy, precision, recall, and F1-score.</w:t>
      </w:r>
    </w:p>
    <w:p>
      <w:pPr>
        <w:spacing w:after="60" w:line="276" w:lineRule="auto"/>
        <w:ind w:left="360"/>
      </w:pPr>
      <w:r>
        <w:rPr>
          <w:color w:val="1F4E79"/>
          <w:sz w:val="16"/>
        </w:rPr>
        <w:t xml:space="preserve">●  </w:t>
      </w:r>
      <w:r>
        <w:rPr>
          <w:sz w:val="21"/>
        </w:rPr>
        <w:t>Tune the best-performing model's hyperparameters using cross-validated grid search to maximize F1-score.</w:t>
      </w:r>
    </w:p>
    <w:p>
      <w:pPr>
        <w:spacing w:after="60" w:line="276" w:lineRule="auto"/>
        <w:ind w:left="360"/>
      </w:pPr>
      <w:r>
        <w:rPr>
          <w:color w:val="1F4E79"/>
          <w:sz w:val="16"/>
        </w:rPr>
        <w:t xml:space="preserve">●  </w:t>
      </w:r>
      <w:r>
        <w:rPr>
          <w:sz w:val="21"/>
        </w:rPr>
        <w:t>Achieve a test-set F1-score of at least 0.90 for reliable phishing detection.</w:t>
      </w:r>
    </w:p>
    <w:p>
      <w:pPr>
        <w:spacing w:after="60" w:line="276" w:lineRule="auto"/>
        <w:ind w:left="360"/>
      </w:pPr>
      <w:r>
        <w:rPr>
          <w:color w:val="1F4E79"/>
          <w:sz w:val="16"/>
        </w:rPr>
        <w:t xml:space="preserve">●  </w:t>
      </w:r>
      <w:r>
        <w:rPr>
          <w:sz w:val="21"/>
        </w:rPr>
        <w:t>Deploy the final model as an interactive Streamlit application with a real-time prediction interface.</w:t>
      </w:r>
    </w:p>
    <w:p>
      <w:pPr>
        <w:keepNext/>
        <w:spacing w:before="280" w:after="80"/>
      </w:pPr>
      <w:r>
        <w:rPr>
          <w:rFonts w:ascii="Calibri" w:hAnsi="Calibri"/>
          <w:b/>
          <w:color w:val="1F4E79"/>
          <w:sz w:val="28"/>
        </w:rPr>
        <w:t>4. Dataset</w:t>
      </w:r>
    </w:p>
    <w:p>
      <w:pPr>
        <w:keepNext/>
        <w:spacing w:before="200" w:after="60"/>
      </w:pPr>
      <w:r>
        <w:rPr>
          <w:rFonts w:ascii="Calibri" w:hAnsi="Calibri"/>
          <w:b/>
          <w:color w:val="2E75B6"/>
          <w:sz w:val="24"/>
        </w:rPr>
        <w:t>4.1 Source &amp; Size</w:t>
      </w:r>
    </w:p>
    <w:p>
      <w:pPr>
        <w:spacing w:after="80" w:line="276" w:lineRule="auto"/>
      </w:pPr>
      <w:r>
        <w:rPr>
          <w:sz w:val="21"/>
        </w:rPr>
        <w:t>The dataset used is a structured, tabular phishing-website dataset containing 25,000 records and 21 columns (20 input features + 1 target label), provided in Excel format (phishing_website_raw.csv.xlsx, cleaned version saved as phishing_website_cleaned.xlsx). Each row represents one website, and each column represents a URL-level, domain-level, or page-content-level characteristic extracted from that website.</w:t>
      </w:r>
    </w:p>
    <w:p>
      <w:pPr>
        <w:keepNext/>
        <w:spacing w:before="200" w:after="60"/>
      </w:pPr>
      <w:r>
        <w:rPr>
          <w:rFonts w:ascii="Calibri" w:hAnsi="Calibri"/>
          <w:b/>
          <w:color w:val="2E75B6"/>
          <w:sz w:val="24"/>
        </w:rPr>
        <w:t>4.2 Feature Description</w:t>
      </w:r>
    </w:p>
    <w:p>
      <w:pPr>
        <w:spacing w:after="80" w:line="276" w:lineRule="auto"/>
      </w:pPr>
      <w:r>
        <w:rPr>
          <w:sz w:val="21"/>
        </w:rPr>
        <w:t>Features fall into four broad categories, summarised below:</w:t>
      </w:r>
    </w:p>
    <w:tbl>
      <w:tblPr>
        <w:tblW w:type="auto" w:w="0"/>
        <w:jc w:val="center"/>
        <w:tblLayout w:type="fixed"/>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3120"/>
        <w:gridCol w:w="3120"/>
        <w:gridCol w:w="3120"/>
      </w:tblGrid>
      <w:tr>
        <w:trPr>
          <w:tblHeader/>
        </w:trPr>
        <w:tc>
          <w:tcPr>
            <w:tcW w:type="dxa" w:w="2016"/>
            <w:shd w:fill="1F4E79"/>
            <w:tcMar>
              <w:top w:w="100" w:type="dxa"/>
              <w:bottom w:w="100" w:type="dxa"/>
              <w:left w:w="120" w:type="dxa"/>
              <w:right w:w="120" w:type="dxa"/>
            </w:tcMar>
          </w:tcPr>
          <w:p>
            <w:pPr>
              <w:jc w:val="left"/>
            </w:pPr>
            <w:r>
              <w:rPr>
                <w:b/>
                <w:color w:val="FFFFFF"/>
                <w:sz w:val="19"/>
              </w:rPr>
              <w:t>Category</w:t>
            </w:r>
          </w:p>
        </w:tc>
        <w:tc>
          <w:tcPr>
            <w:tcW w:type="dxa" w:w="3888"/>
            <w:shd w:fill="1F4E79"/>
            <w:tcMar>
              <w:top w:w="100" w:type="dxa"/>
              <w:bottom w:w="100" w:type="dxa"/>
              <w:left w:w="120" w:type="dxa"/>
              <w:right w:w="120" w:type="dxa"/>
            </w:tcMar>
          </w:tcPr>
          <w:p>
            <w:pPr>
              <w:jc w:val="left"/>
            </w:pPr>
            <w:r>
              <w:rPr>
                <w:b/>
                <w:color w:val="FFFFFF"/>
                <w:sz w:val="19"/>
              </w:rPr>
              <w:t>Features</w:t>
            </w:r>
          </w:p>
        </w:tc>
        <w:tc>
          <w:tcPr>
            <w:tcW w:type="dxa" w:w="3456"/>
            <w:shd w:fill="1F4E79"/>
            <w:tcMar>
              <w:top w:w="100" w:type="dxa"/>
              <w:bottom w:w="100" w:type="dxa"/>
              <w:left w:w="120" w:type="dxa"/>
              <w:right w:w="120" w:type="dxa"/>
            </w:tcMar>
          </w:tcPr>
          <w:p>
            <w:pPr>
              <w:jc w:val="left"/>
            </w:pPr>
            <w:r>
              <w:rPr>
                <w:b/>
                <w:color w:val="FFFFFF"/>
                <w:sz w:val="19"/>
              </w:rPr>
              <w:t>What it captures</w:t>
            </w:r>
          </w:p>
        </w:tc>
      </w:tr>
      <w:tr>
        <w:tc>
          <w:tcPr>
            <w:tcW w:type="dxa" w:w="2016"/>
            <w:shd w:fill="F4F8FC"/>
            <w:tcMar>
              <w:top w:w="80" w:type="dxa"/>
              <w:bottom w:w="80" w:type="dxa"/>
              <w:left w:w="120" w:type="dxa"/>
              <w:right w:w="120" w:type="dxa"/>
            </w:tcMar>
          </w:tcPr>
          <w:p>
            <w:pPr>
              <w:jc w:val="left"/>
            </w:pPr>
            <w:r>
              <w:rPr>
                <w:color w:val="282828"/>
                <w:sz w:val="19"/>
              </w:rPr>
              <w:t>URL-based</w:t>
            </w:r>
          </w:p>
        </w:tc>
        <w:tc>
          <w:tcPr>
            <w:tcW w:type="dxa" w:w="3888"/>
            <w:shd w:fill="F4F8FC"/>
            <w:tcMar>
              <w:top w:w="80" w:type="dxa"/>
              <w:bottom w:w="80" w:type="dxa"/>
              <w:left w:w="120" w:type="dxa"/>
              <w:right w:w="120" w:type="dxa"/>
            </w:tcMar>
          </w:tcPr>
          <w:p>
            <w:pPr>
              <w:jc w:val="left"/>
            </w:pPr>
            <w:r>
              <w:rPr>
                <w:color w:val="282828"/>
                <w:sz w:val="19"/>
              </w:rPr>
              <w:t>URL_Length, Num_Dots, Num_Hyphens, Num_Special_Chars, Num_Subdomains, URL_Entropy, Has_IP_Address</w:t>
            </w:r>
          </w:p>
        </w:tc>
        <w:tc>
          <w:tcPr>
            <w:tcW w:type="dxa" w:w="3456"/>
            <w:shd w:fill="F4F8FC"/>
            <w:tcMar>
              <w:top w:w="80" w:type="dxa"/>
              <w:bottom w:w="80" w:type="dxa"/>
              <w:left w:w="120" w:type="dxa"/>
              <w:right w:w="120" w:type="dxa"/>
            </w:tcMar>
          </w:tcPr>
          <w:p>
            <w:pPr>
              <w:jc w:val="left"/>
            </w:pPr>
            <w:r>
              <w:rPr>
                <w:color w:val="282828"/>
                <w:sz w:val="19"/>
              </w:rPr>
              <w:t>Structural oddities in the URL string itself</w:t>
            </w:r>
          </w:p>
        </w:tc>
      </w:tr>
      <w:tr>
        <w:tc>
          <w:tcPr>
            <w:tcW w:type="dxa" w:w="2016"/>
            <w:shd w:fill="FFFFFF"/>
            <w:tcMar>
              <w:top w:w="80" w:type="dxa"/>
              <w:bottom w:w="80" w:type="dxa"/>
              <w:left w:w="120" w:type="dxa"/>
              <w:right w:w="120" w:type="dxa"/>
            </w:tcMar>
          </w:tcPr>
          <w:p>
            <w:pPr>
              <w:jc w:val="left"/>
            </w:pPr>
            <w:r>
              <w:rPr>
                <w:color w:val="282828"/>
                <w:sz w:val="19"/>
              </w:rPr>
              <w:t>Domain-based</w:t>
            </w:r>
          </w:p>
        </w:tc>
        <w:tc>
          <w:tcPr>
            <w:tcW w:type="dxa" w:w="3888"/>
            <w:shd w:fill="FFFFFF"/>
            <w:tcMar>
              <w:top w:w="80" w:type="dxa"/>
              <w:bottom w:w="80" w:type="dxa"/>
              <w:left w:w="120" w:type="dxa"/>
              <w:right w:w="120" w:type="dxa"/>
            </w:tcMar>
          </w:tcPr>
          <w:p>
            <w:pPr>
              <w:jc w:val="left"/>
            </w:pPr>
            <w:r>
              <w:rPr>
                <w:color w:val="282828"/>
                <w:sz w:val="19"/>
              </w:rPr>
              <w:t>Domain_Age_Days, Domain_Registration_Length, Domain_Name_Length, Has_HTTPS</w:t>
            </w:r>
          </w:p>
        </w:tc>
        <w:tc>
          <w:tcPr>
            <w:tcW w:type="dxa" w:w="3456"/>
            <w:shd w:fill="FFFFFF"/>
            <w:tcMar>
              <w:top w:w="80" w:type="dxa"/>
              <w:bottom w:w="80" w:type="dxa"/>
              <w:left w:w="120" w:type="dxa"/>
              <w:right w:w="120" w:type="dxa"/>
            </w:tcMar>
          </w:tcPr>
          <w:p>
            <w:pPr>
              <w:jc w:val="left"/>
            </w:pPr>
            <w:r>
              <w:rPr>
                <w:color w:val="282828"/>
                <w:sz w:val="19"/>
              </w:rPr>
              <w:t>Trustworthiness / maturity of the domain</w:t>
            </w:r>
          </w:p>
        </w:tc>
      </w:tr>
      <w:tr>
        <w:tc>
          <w:tcPr>
            <w:tcW w:type="dxa" w:w="2016"/>
            <w:shd w:fill="F4F8FC"/>
            <w:tcMar>
              <w:top w:w="80" w:type="dxa"/>
              <w:bottom w:w="80" w:type="dxa"/>
              <w:left w:w="120" w:type="dxa"/>
              <w:right w:w="120" w:type="dxa"/>
            </w:tcMar>
          </w:tcPr>
          <w:p>
            <w:pPr>
              <w:jc w:val="left"/>
            </w:pPr>
            <w:r>
              <w:rPr>
                <w:color w:val="282828"/>
                <w:sz w:val="19"/>
              </w:rPr>
              <w:t>Content-based</w:t>
            </w:r>
          </w:p>
        </w:tc>
        <w:tc>
          <w:tcPr>
            <w:tcW w:type="dxa" w:w="3888"/>
            <w:shd w:fill="F4F8FC"/>
            <w:tcMar>
              <w:top w:w="80" w:type="dxa"/>
              <w:bottom w:w="80" w:type="dxa"/>
              <w:left w:w="120" w:type="dxa"/>
              <w:right w:w="120" w:type="dxa"/>
            </w:tcMar>
          </w:tcPr>
          <w:p>
            <w:pPr>
              <w:jc w:val="left"/>
            </w:pPr>
            <w:r>
              <w:rPr>
                <w:color w:val="282828"/>
                <w:sz w:val="19"/>
              </w:rPr>
              <w:t>Num_Redirects, External_Link_Ratio, Image_Link_Ratio, Form_Count, Iframe_Count, Popup_Count, Favicon_External</w:t>
            </w:r>
          </w:p>
        </w:tc>
        <w:tc>
          <w:tcPr>
            <w:tcW w:type="dxa" w:w="3456"/>
            <w:shd w:fill="F4F8FC"/>
            <w:tcMar>
              <w:top w:w="80" w:type="dxa"/>
              <w:bottom w:w="80" w:type="dxa"/>
              <w:left w:w="120" w:type="dxa"/>
              <w:right w:w="120" w:type="dxa"/>
            </w:tcMar>
          </w:tcPr>
          <w:p>
            <w:pPr>
              <w:jc w:val="left"/>
            </w:pPr>
            <w:r>
              <w:rPr>
                <w:color w:val="282828"/>
                <w:sz w:val="19"/>
              </w:rPr>
              <w:t>Behaviour and layout of the rendered page</w:t>
            </w:r>
          </w:p>
        </w:tc>
      </w:tr>
      <w:tr>
        <w:tc>
          <w:tcPr>
            <w:tcW w:type="dxa" w:w="2016"/>
            <w:shd w:fill="FFFFFF"/>
            <w:tcMar>
              <w:top w:w="80" w:type="dxa"/>
              <w:bottom w:w="80" w:type="dxa"/>
              <w:left w:w="120" w:type="dxa"/>
              <w:right w:w="120" w:type="dxa"/>
            </w:tcMar>
          </w:tcPr>
          <w:p>
            <w:pPr>
              <w:jc w:val="left"/>
            </w:pPr>
            <w:r>
              <w:rPr>
                <w:color w:val="282828"/>
                <w:sz w:val="19"/>
              </w:rPr>
              <w:t>Security-related</w:t>
            </w:r>
          </w:p>
        </w:tc>
        <w:tc>
          <w:tcPr>
            <w:tcW w:type="dxa" w:w="3888"/>
            <w:shd w:fill="FFFFFF"/>
            <w:tcMar>
              <w:top w:w="80" w:type="dxa"/>
              <w:bottom w:w="80" w:type="dxa"/>
              <w:left w:w="120" w:type="dxa"/>
              <w:right w:w="120" w:type="dxa"/>
            </w:tcMar>
          </w:tcPr>
          <w:p>
            <w:pPr>
              <w:jc w:val="left"/>
            </w:pPr>
            <w:r>
              <w:rPr>
                <w:color w:val="282828"/>
                <w:sz w:val="19"/>
              </w:rPr>
              <w:t>Has_Suspicious_Words, Password_Field_Present</w:t>
            </w:r>
          </w:p>
        </w:tc>
        <w:tc>
          <w:tcPr>
            <w:tcW w:type="dxa" w:w="3456"/>
            <w:shd w:fill="FFFFFF"/>
            <w:tcMar>
              <w:top w:w="80" w:type="dxa"/>
              <w:bottom w:w="80" w:type="dxa"/>
              <w:left w:w="120" w:type="dxa"/>
              <w:right w:w="120" w:type="dxa"/>
            </w:tcMar>
          </w:tcPr>
          <w:p>
            <w:pPr>
              <w:jc w:val="left"/>
            </w:pPr>
            <w:r>
              <w:rPr>
                <w:color w:val="282828"/>
                <w:sz w:val="19"/>
              </w:rPr>
              <w:t>Direct social-engineering / credential-harvesting cues</w:t>
            </w:r>
          </w:p>
        </w:tc>
      </w:tr>
    </w:tbl>
    <w:p>
      <w:pPr>
        <w:spacing w:after="80" w:line="276" w:lineRule="auto"/>
      </w:pPr>
      <w:r>
        <w:rPr>
          <w:sz w:val="21"/>
        </w:rPr>
        <w:t>Phishing pages typically show longer, more chaotic URLs (more dots, hyphens, special characters, higher entropy), younger domains, missing HTTPS, and a higher density of forms, iframes, and pop-ups — patterns confirmed later in the EDA stage.</w:t>
      </w:r>
    </w:p>
    <w:p>
      <w:pPr>
        <w:keepNext/>
        <w:spacing w:before="200" w:after="60"/>
      </w:pPr>
      <w:r>
        <w:rPr>
          <w:rFonts w:ascii="Calibri" w:hAnsi="Calibri"/>
          <w:b/>
          <w:color w:val="2E75B6"/>
          <w:sz w:val="24"/>
        </w:rPr>
        <w:t>4.3 Target Variable &amp; Class Balance</w:t>
      </w:r>
    </w:p>
    <w:p>
      <w:pPr>
        <w:spacing w:after="80" w:line="276" w:lineRule="auto"/>
      </w:pPr>
      <w:r>
        <w:rPr>
          <w:sz w:val="21"/>
        </w:rPr>
        <w:t>The target column Is_Phishing is binary: 0 = Legitimate, 1 = Phishing. Out of 25,000 records, 14,806 (59.2%) are legitimate and 10,194 (40.8%) are phishing — a moderate, workable class balance that did not require synthetic resampling (e.g. SMOTE) before modelling.</w:t>
      </w:r>
    </w:p>
    <w:tbl>
      <w:tblPr>
        <w:tblW w:type="auto" w:w="0"/>
        <w:jc w:val="center"/>
        <w:tblLayout w:type="fixed"/>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2340"/>
        <w:gridCol w:w="2340"/>
        <w:gridCol w:w="2340"/>
        <w:gridCol w:w="2340"/>
      </w:tblGrid>
      <w:tr>
        <w:trPr>
          <w:tblHeader/>
        </w:trPr>
        <w:tc>
          <w:tcPr>
            <w:tcW w:type="dxa" w:w="2592"/>
            <w:shd w:fill="1F4E79"/>
            <w:tcMar>
              <w:top w:w="100" w:type="dxa"/>
              <w:bottom w:w="100" w:type="dxa"/>
              <w:left w:w="120" w:type="dxa"/>
              <w:right w:w="120" w:type="dxa"/>
            </w:tcMar>
          </w:tcPr>
          <w:p>
            <w:pPr>
              <w:jc w:val="left"/>
            </w:pPr>
            <w:r>
              <w:rPr>
                <w:b/>
                <w:color w:val="FFFFFF"/>
                <w:sz w:val="19"/>
              </w:rPr>
              <w:t>Class</w:t>
            </w:r>
          </w:p>
        </w:tc>
        <w:tc>
          <w:tcPr>
            <w:tcW w:type="dxa" w:w="1728"/>
            <w:shd w:fill="1F4E79"/>
            <w:tcMar>
              <w:top w:w="100" w:type="dxa"/>
              <w:bottom w:w="100" w:type="dxa"/>
              <w:left w:w="120" w:type="dxa"/>
              <w:right w:w="120" w:type="dxa"/>
            </w:tcMar>
          </w:tcPr>
          <w:p>
            <w:pPr>
              <w:jc w:val="center"/>
            </w:pPr>
            <w:r>
              <w:rPr>
                <w:b/>
                <w:color w:val="FFFFFF"/>
                <w:sz w:val="19"/>
              </w:rPr>
              <w:t>Label</w:t>
            </w:r>
          </w:p>
        </w:tc>
        <w:tc>
          <w:tcPr>
            <w:tcW w:type="dxa" w:w="2592"/>
            <w:shd w:fill="1F4E79"/>
            <w:tcMar>
              <w:top w:w="100" w:type="dxa"/>
              <w:bottom w:w="100" w:type="dxa"/>
              <w:left w:w="120" w:type="dxa"/>
              <w:right w:w="120" w:type="dxa"/>
            </w:tcMar>
          </w:tcPr>
          <w:p>
            <w:pPr>
              <w:jc w:val="right"/>
            </w:pPr>
            <w:r>
              <w:rPr>
                <w:b/>
                <w:color w:val="FFFFFF"/>
                <w:sz w:val="19"/>
              </w:rPr>
              <w:t>Count</w:t>
            </w:r>
          </w:p>
        </w:tc>
        <w:tc>
          <w:tcPr>
            <w:tcW w:type="dxa" w:w="2448"/>
            <w:shd w:fill="1F4E79"/>
            <w:tcMar>
              <w:top w:w="100" w:type="dxa"/>
              <w:bottom w:w="100" w:type="dxa"/>
              <w:left w:w="120" w:type="dxa"/>
              <w:right w:w="120" w:type="dxa"/>
            </w:tcMar>
          </w:tcPr>
          <w:p>
            <w:pPr>
              <w:jc w:val="right"/>
            </w:pPr>
            <w:r>
              <w:rPr>
                <w:b/>
                <w:color w:val="FFFFFF"/>
                <w:sz w:val="19"/>
              </w:rPr>
              <w:t>Percentage</w:t>
            </w:r>
          </w:p>
        </w:tc>
      </w:tr>
      <w:tr>
        <w:tc>
          <w:tcPr>
            <w:tcW w:type="dxa" w:w="2592"/>
            <w:shd w:fill="F4F8FC"/>
            <w:tcMar>
              <w:top w:w="80" w:type="dxa"/>
              <w:bottom w:w="80" w:type="dxa"/>
              <w:left w:w="120" w:type="dxa"/>
              <w:right w:w="120" w:type="dxa"/>
            </w:tcMar>
          </w:tcPr>
          <w:p>
            <w:pPr>
              <w:jc w:val="left"/>
            </w:pPr>
            <w:r>
              <w:rPr>
                <w:color w:val="282828"/>
                <w:sz w:val="19"/>
              </w:rPr>
              <w:t>Legitimate</w:t>
            </w:r>
          </w:p>
        </w:tc>
        <w:tc>
          <w:tcPr>
            <w:tcW w:type="dxa" w:w="1728"/>
            <w:shd w:fill="F4F8FC"/>
            <w:tcMar>
              <w:top w:w="80" w:type="dxa"/>
              <w:bottom w:w="80" w:type="dxa"/>
              <w:left w:w="120" w:type="dxa"/>
              <w:right w:w="120" w:type="dxa"/>
            </w:tcMar>
          </w:tcPr>
          <w:p>
            <w:pPr>
              <w:jc w:val="center"/>
            </w:pPr>
            <w:r>
              <w:rPr>
                <w:color w:val="282828"/>
                <w:sz w:val="19"/>
              </w:rPr>
              <w:t>0</w:t>
            </w:r>
          </w:p>
        </w:tc>
        <w:tc>
          <w:tcPr>
            <w:tcW w:type="dxa" w:w="2592"/>
            <w:shd w:fill="F4F8FC"/>
            <w:tcMar>
              <w:top w:w="80" w:type="dxa"/>
              <w:bottom w:w="80" w:type="dxa"/>
              <w:left w:w="120" w:type="dxa"/>
              <w:right w:w="120" w:type="dxa"/>
            </w:tcMar>
          </w:tcPr>
          <w:p>
            <w:pPr>
              <w:jc w:val="right"/>
            </w:pPr>
            <w:r>
              <w:rPr>
                <w:color w:val="282828"/>
                <w:sz w:val="19"/>
              </w:rPr>
              <w:t>14,806</w:t>
            </w:r>
          </w:p>
        </w:tc>
        <w:tc>
          <w:tcPr>
            <w:tcW w:type="dxa" w:w="2448"/>
            <w:shd w:fill="F4F8FC"/>
            <w:tcMar>
              <w:top w:w="80" w:type="dxa"/>
              <w:bottom w:w="80" w:type="dxa"/>
              <w:left w:w="120" w:type="dxa"/>
              <w:right w:w="120" w:type="dxa"/>
            </w:tcMar>
          </w:tcPr>
          <w:p>
            <w:pPr>
              <w:jc w:val="right"/>
            </w:pPr>
            <w:r>
              <w:rPr>
                <w:color w:val="282828"/>
                <w:sz w:val="19"/>
              </w:rPr>
              <w:t>59.2%</w:t>
            </w:r>
          </w:p>
        </w:tc>
      </w:tr>
      <w:tr>
        <w:tc>
          <w:tcPr>
            <w:tcW w:type="dxa" w:w="2592"/>
            <w:shd w:fill="FFFFFF"/>
            <w:tcMar>
              <w:top w:w="80" w:type="dxa"/>
              <w:bottom w:w="80" w:type="dxa"/>
              <w:left w:w="120" w:type="dxa"/>
              <w:right w:w="120" w:type="dxa"/>
            </w:tcMar>
          </w:tcPr>
          <w:p>
            <w:pPr>
              <w:jc w:val="left"/>
            </w:pPr>
            <w:r>
              <w:rPr>
                <w:color w:val="282828"/>
                <w:sz w:val="19"/>
              </w:rPr>
              <w:t>Phishing</w:t>
            </w:r>
          </w:p>
        </w:tc>
        <w:tc>
          <w:tcPr>
            <w:tcW w:type="dxa" w:w="1728"/>
            <w:shd w:fill="FFFFFF"/>
            <w:tcMar>
              <w:top w:w="80" w:type="dxa"/>
              <w:bottom w:w="80" w:type="dxa"/>
              <w:left w:w="120" w:type="dxa"/>
              <w:right w:w="120" w:type="dxa"/>
            </w:tcMar>
          </w:tcPr>
          <w:p>
            <w:pPr>
              <w:jc w:val="center"/>
            </w:pPr>
            <w:r>
              <w:rPr>
                <w:color w:val="282828"/>
                <w:sz w:val="19"/>
              </w:rPr>
              <w:t>1</w:t>
            </w:r>
          </w:p>
        </w:tc>
        <w:tc>
          <w:tcPr>
            <w:tcW w:type="dxa" w:w="2592"/>
            <w:shd w:fill="FFFFFF"/>
            <w:tcMar>
              <w:top w:w="80" w:type="dxa"/>
              <w:bottom w:w="80" w:type="dxa"/>
              <w:left w:w="120" w:type="dxa"/>
              <w:right w:w="120" w:type="dxa"/>
            </w:tcMar>
          </w:tcPr>
          <w:p>
            <w:pPr>
              <w:jc w:val="right"/>
            </w:pPr>
            <w:r>
              <w:rPr>
                <w:color w:val="282828"/>
                <w:sz w:val="19"/>
              </w:rPr>
              <w:t>10,194</w:t>
            </w:r>
          </w:p>
        </w:tc>
        <w:tc>
          <w:tcPr>
            <w:tcW w:type="dxa" w:w="2448"/>
            <w:shd w:fill="FFFFFF"/>
            <w:tcMar>
              <w:top w:w="80" w:type="dxa"/>
              <w:bottom w:w="80" w:type="dxa"/>
              <w:left w:w="120" w:type="dxa"/>
              <w:right w:w="120" w:type="dxa"/>
            </w:tcMar>
          </w:tcPr>
          <w:p>
            <w:pPr>
              <w:jc w:val="right"/>
            </w:pPr>
            <w:r>
              <w:rPr>
                <w:color w:val="282828"/>
                <w:sz w:val="19"/>
              </w:rPr>
              <w:t>40.8%</w:t>
            </w:r>
          </w:p>
        </w:tc>
      </w:tr>
    </w:tbl>
    <w:p>
      <w:pPr>
        <w:keepNext/>
        <w:spacing w:before="160" w:after="60"/>
        <w:jc w:val="center"/>
      </w:pPr>
      <w:r>
        <w:drawing>
          <wp:inline xmlns:a="http://schemas.openxmlformats.org/drawingml/2006/main" xmlns:pic="http://schemas.openxmlformats.org/drawingml/2006/picture">
            <wp:extent cx="4572000" cy="2939143"/>
            <wp:docPr id="1" name="Picture 1"/>
            <wp:cNvGraphicFramePr>
              <a:graphicFrameLocks noChangeAspect="1"/>
            </wp:cNvGraphicFramePr>
            <a:graphic>
              <a:graphicData uri="http://schemas.openxmlformats.org/drawingml/2006/picture">
                <pic:pic>
                  <pic:nvPicPr>
                    <pic:cNvPr id="0" name="fig_4_1_target_distribution.png"/>
                    <pic:cNvPicPr/>
                  </pic:nvPicPr>
                  <pic:blipFill>
                    <a:blip r:embed="rId9"/>
                    <a:stretch>
                      <a:fillRect/>
                    </a:stretch>
                  </pic:blipFill>
                  <pic:spPr>
                    <a:xfrm>
                      <a:off x="0" y="0"/>
                      <a:ext cx="4572000" cy="2939143"/>
                    </a:xfrm>
                    <a:prstGeom prst="rect"/>
                  </pic:spPr>
                </pic:pic>
              </a:graphicData>
            </a:graphic>
          </wp:inline>
        </w:drawing>
      </w:r>
    </w:p>
    <w:p>
      <w:pPr>
        <w:spacing w:before="0" w:after="160"/>
        <w:jc w:val="center"/>
      </w:pPr>
      <w:r>
        <w:rPr>
          <w:b/>
          <w:i/>
          <w:color w:val="3C3C3C"/>
          <w:sz w:val="19"/>
        </w:rPr>
        <w:t>Figure 4.1 — Distribution of phishing vs legitimate websites</w:t>
      </w:r>
    </w:p>
    <w:p>
      <w:pPr>
        <w:keepNext/>
        <w:spacing w:before="200" w:after="60"/>
      </w:pPr>
      <w:r>
        <w:rPr>
          <w:rFonts w:ascii="Calibri" w:hAnsi="Calibri"/>
          <w:b/>
          <w:color w:val="2E75B6"/>
          <w:sz w:val="24"/>
        </w:rPr>
        <w:t>4.4 Data Quality Checks Performed</w:t>
      </w:r>
    </w:p>
    <w:p>
      <w:pPr>
        <w:spacing w:after="60" w:line="276" w:lineRule="auto"/>
        <w:ind w:left="360"/>
      </w:pPr>
      <w:r>
        <w:rPr>
          <w:color w:val="1F4E79"/>
          <w:sz w:val="16"/>
        </w:rPr>
        <w:t xml:space="preserve">●  </w:t>
      </w:r>
      <w:r>
        <w:rPr>
          <w:sz w:val="21"/>
        </w:rPr>
        <w:t>Verified shape, column data types, and summary statistics (df.info(), df.describe()).</w:t>
      </w:r>
    </w:p>
    <w:p>
      <w:pPr>
        <w:spacing w:after="60" w:line="276" w:lineRule="auto"/>
        <w:ind w:left="360"/>
      </w:pPr>
      <w:r>
        <w:rPr>
          <w:color w:val="1F4E79"/>
          <w:sz w:val="16"/>
        </w:rPr>
        <w:t xml:space="preserve">●  </w:t>
      </w:r>
      <w:r>
        <w:rPr>
          <w:sz w:val="21"/>
        </w:rPr>
        <w:t>Checked for missing values column-by-column and in total.</w:t>
      </w:r>
    </w:p>
    <w:p>
      <w:pPr>
        <w:spacing w:after="60" w:line="276" w:lineRule="auto"/>
        <w:ind w:left="360"/>
      </w:pPr>
      <w:r>
        <w:rPr>
          <w:color w:val="1F4E79"/>
          <w:sz w:val="16"/>
        </w:rPr>
        <w:t xml:space="preserve">●  </w:t>
      </w:r>
      <w:r>
        <w:rPr>
          <w:sz w:val="21"/>
        </w:rPr>
        <w:t>Checked and removed exact duplicate rows.</w:t>
      </w:r>
    </w:p>
    <w:p>
      <w:pPr>
        <w:spacing w:after="60" w:line="276" w:lineRule="auto"/>
        <w:ind w:left="360"/>
      </w:pPr>
      <w:r>
        <w:rPr>
          <w:color w:val="1F4E79"/>
          <w:sz w:val="16"/>
        </w:rPr>
        <w:t xml:space="preserve">●  </w:t>
      </w:r>
      <w:r>
        <w:rPr>
          <w:sz w:val="21"/>
        </w:rPr>
        <w:t>Validated the target column only contained {0, 1}.</w:t>
      </w:r>
    </w:p>
    <w:p>
      <w:pPr>
        <w:spacing w:after="60" w:line="276" w:lineRule="auto"/>
        <w:ind w:left="360"/>
      </w:pPr>
      <w:r>
        <w:rPr>
          <w:color w:val="1F4E79"/>
          <w:sz w:val="16"/>
        </w:rPr>
        <w:t xml:space="preserve">●  </w:t>
      </w:r>
      <w:r>
        <w:rPr>
          <w:sz w:val="21"/>
        </w:rPr>
        <w:t>Flagged out-of-range values in count columns (negative lengths/counts) and ratio columns (outside 0–1).</w:t>
      </w:r>
    </w:p>
    <w:p>
      <w:pPr>
        <w:keepNext/>
        <w:spacing w:before="280" w:after="80"/>
      </w:pPr>
      <w:r>
        <w:rPr>
          <w:rFonts w:ascii="Calibri" w:hAnsi="Calibri"/>
          <w:b/>
          <w:color w:val="1F4E79"/>
          <w:sz w:val="28"/>
        </w:rPr>
        <w:t>5. Exploratory Data Analysis</w:t>
      </w:r>
    </w:p>
    <w:p>
      <w:pPr>
        <w:spacing w:after="80" w:line="276" w:lineRule="auto"/>
      </w:pPr>
      <w:r>
        <w:rPr>
          <w:sz w:val="21"/>
        </w:rPr>
        <w:t>Before modelling, the cleaned dataset was explored visually and statistically to understand feature behaviour, spot outliers, and identify which features most strongly separate phishing from legitimate websites. The full analysis (46+ plots covering every feature) is available in the notebook; the key visuals are summarised here.</w:t>
      </w:r>
    </w:p>
    <w:p>
      <w:pPr>
        <w:keepNext/>
        <w:spacing w:before="200" w:after="60"/>
      </w:pPr>
      <w:r>
        <w:rPr>
          <w:rFonts w:ascii="Calibri" w:hAnsi="Calibri"/>
          <w:b/>
          <w:color w:val="2E75B6"/>
          <w:sz w:val="24"/>
        </w:rPr>
        <w:t>5.1 Feature Distributions</w:t>
      </w:r>
    </w:p>
    <w:p>
      <w:pPr>
        <w:spacing w:after="80" w:line="276" w:lineRule="auto"/>
      </w:pPr>
      <w:r>
        <w:rPr>
          <w:sz w:val="21"/>
        </w:rPr>
        <w:t>Histograms with KDE overlays were plotted for every numerical feature to check skewness and spread. Several features (URL_Length, Num_Redirects, Popup_Count) showed a right-skewed distribution typical of count data, while URL_Entropy was closer to normally distributed.</w:t>
      </w:r>
    </w:p>
    <w:p>
      <w:pPr>
        <w:keepNext/>
        <w:spacing w:before="160" w:after="60"/>
        <w:jc w:val="center"/>
      </w:pPr>
      <w:r>
        <w:drawing>
          <wp:inline xmlns:a="http://schemas.openxmlformats.org/drawingml/2006/main" xmlns:pic="http://schemas.openxmlformats.org/drawingml/2006/picture">
            <wp:extent cx="5486400" cy="1645920"/>
            <wp:docPr id="2" name="Picture 2"/>
            <wp:cNvGraphicFramePr>
              <a:graphicFrameLocks noChangeAspect="1"/>
            </wp:cNvGraphicFramePr>
            <a:graphic>
              <a:graphicData uri="http://schemas.openxmlformats.org/drawingml/2006/picture">
                <pic:pic>
                  <pic:nvPicPr>
                    <pic:cNvPr id="0" name="fig_5_1_feature_distributions.png"/>
                    <pic:cNvPicPr/>
                  </pic:nvPicPr>
                  <pic:blipFill>
                    <a:blip r:embed="rId10"/>
                    <a:stretch>
                      <a:fillRect/>
                    </a:stretch>
                  </pic:blipFill>
                  <pic:spPr>
                    <a:xfrm>
                      <a:off x="0" y="0"/>
                      <a:ext cx="5486400" cy="1645920"/>
                    </a:xfrm>
                    <a:prstGeom prst="rect"/>
                  </pic:spPr>
                </pic:pic>
              </a:graphicData>
            </a:graphic>
          </wp:inline>
        </w:drawing>
      </w:r>
    </w:p>
    <w:p>
      <w:pPr>
        <w:spacing w:before="0" w:after="160"/>
        <w:jc w:val="center"/>
      </w:pPr>
      <w:r>
        <w:rPr>
          <w:b/>
          <w:i/>
          <w:color w:val="3C3C3C"/>
          <w:sz w:val="19"/>
        </w:rPr>
        <w:t>Figure 5.1 — Example distributions: URL_Length, Domain_Age_Days, URL_Entropy</w:t>
      </w:r>
    </w:p>
    <w:p>
      <w:pPr>
        <w:keepNext/>
        <w:spacing w:before="200" w:after="60"/>
      </w:pPr>
      <w:r>
        <w:rPr>
          <w:rFonts w:ascii="Calibri" w:hAnsi="Calibri"/>
          <w:b/>
          <w:color w:val="2E75B6"/>
          <w:sz w:val="24"/>
        </w:rPr>
        <w:t>5.2 Outlier Detection</w:t>
      </w:r>
    </w:p>
    <w:p>
      <w:pPr>
        <w:spacing w:after="80" w:line="276" w:lineRule="auto"/>
      </w:pPr>
      <w:r>
        <w:rPr>
          <w:sz w:val="21"/>
        </w:rPr>
        <w:t>Boxplots were generated per feature to visually detect outliers. A small number of extreme values were observed in Domain_Age_Days and Num_Redirects, consistent with real websites having unusually long-lived domains or heavily redirected pages; these were kept as they represent genuine, informative variation rather than data errors.</w:t>
      </w:r>
    </w:p>
    <w:p>
      <w:pPr>
        <w:keepNext/>
        <w:spacing w:before="160" w:after="60"/>
        <w:jc w:val="center"/>
      </w:pPr>
      <w:r>
        <w:drawing>
          <wp:inline xmlns:a="http://schemas.openxmlformats.org/drawingml/2006/main" xmlns:pic="http://schemas.openxmlformats.org/drawingml/2006/picture">
            <wp:extent cx="5486400" cy="2926080"/>
            <wp:docPr id="3" name="Picture 3"/>
            <wp:cNvGraphicFramePr>
              <a:graphicFrameLocks noChangeAspect="1"/>
            </wp:cNvGraphicFramePr>
            <a:graphic>
              <a:graphicData uri="http://schemas.openxmlformats.org/drawingml/2006/picture">
                <pic:pic>
                  <pic:nvPicPr>
                    <pic:cNvPr id="0" name="fig_5_2_outliers_boxplots.png"/>
                    <pic:cNvPicPr/>
                  </pic:nvPicPr>
                  <pic:blipFill>
                    <a:blip r:embed="rId11"/>
                    <a:stretch>
                      <a:fillRect/>
                    </a:stretch>
                  </pic:blipFill>
                  <pic:spPr>
                    <a:xfrm>
                      <a:off x="0" y="0"/>
                      <a:ext cx="5486400" cy="2926080"/>
                    </a:xfrm>
                    <a:prstGeom prst="rect"/>
                  </pic:spPr>
                </pic:pic>
              </a:graphicData>
            </a:graphic>
          </wp:inline>
        </w:drawing>
      </w:r>
    </w:p>
    <w:p>
      <w:pPr>
        <w:spacing w:before="0" w:after="160"/>
        <w:jc w:val="center"/>
      </w:pPr>
      <w:r>
        <w:rPr>
          <w:b/>
          <w:i/>
          <w:color w:val="3C3C3C"/>
          <w:sz w:val="19"/>
        </w:rPr>
        <w:t>Figure 5.2 — Outlier check across key numeric features</w:t>
      </w:r>
    </w:p>
    <w:p>
      <w:pPr>
        <w:keepNext/>
        <w:spacing w:before="200" w:after="60"/>
      </w:pPr>
      <w:r>
        <w:rPr>
          <w:rFonts w:ascii="Calibri" w:hAnsi="Calibri"/>
          <w:b/>
          <w:color w:val="2E75B6"/>
          <w:sz w:val="24"/>
        </w:rPr>
        <w:t>5.3 Correlation Analysis</w:t>
      </w:r>
    </w:p>
    <w:p>
      <w:pPr>
        <w:spacing w:after="80" w:line="276" w:lineRule="auto"/>
      </w:pPr>
      <w:r>
        <w:rPr>
          <w:sz w:val="21"/>
        </w:rPr>
        <w:t>A full correlation heatmap across all 20 features was generated to check for multicollinearity and to rank features by their linear relationship with the target. No feature pairs exceeded the 0.70 correlation threshold used to flag redundancy, so no features were dropped prior to modelling.</w:t>
      </w:r>
    </w:p>
    <w:p>
      <w:pPr>
        <w:keepNext/>
        <w:spacing w:before="160" w:after="60"/>
        <w:jc w:val="center"/>
      </w:pPr>
      <w:r>
        <w:drawing>
          <wp:inline xmlns:a="http://schemas.openxmlformats.org/drawingml/2006/main" xmlns:pic="http://schemas.openxmlformats.org/drawingml/2006/picture">
            <wp:extent cx="5303520" cy="4309110"/>
            <wp:docPr id="4" name="Picture 4"/>
            <wp:cNvGraphicFramePr>
              <a:graphicFrameLocks noChangeAspect="1"/>
            </wp:cNvGraphicFramePr>
            <a:graphic>
              <a:graphicData uri="http://schemas.openxmlformats.org/drawingml/2006/picture">
                <pic:pic>
                  <pic:nvPicPr>
                    <pic:cNvPr id="0" name="fig_5_3_correlation_matrix.png"/>
                    <pic:cNvPicPr/>
                  </pic:nvPicPr>
                  <pic:blipFill>
                    <a:blip r:embed="rId12"/>
                    <a:stretch>
                      <a:fillRect/>
                    </a:stretch>
                  </pic:blipFill>
                  <pic:spPr>
                    <a:xfrm>
                      <a:off x="0" y="0"/>
                      <a:ext cx="5303520" cy="4309110"/>
                    </a:xfrm>
                    <a:prstGeom prst="rect"/>
                  </pic:spPr>
                </pic:pic>
              </a:graphicData>
            </a:graphic>
          </wp:inline>
        </w:drawing>
      </w:r>
    </w:p>
    <w:p>
      <w:pPr>
        <w:spacing w:before="0" w:after="160"/>
        <w:jc w:val="center"/>
      </w:pPr>
      <w:r>
        <w:rPr>
          <w:b/>
          <w:i/>
          <w:color w:val="3C3C3C"/>
          <w:sz w:val="19"/>
        </w:rPr>
        <w:t>Figure 5.3 — Correlation matrix across all 20 features</w:t>
      </w:r>
    </w:p>
    <w:p>
      <w:pPr>
        <w:keepNext/>
        <w:spacing w:before="200" w:after="60"/>
      </w:pPr>
      <w:r>
        <w:rPr>
          <w:rFonts w:ascii="Calibri" w:hAnsi="Calibri"/>
          <w:b/>
          <w:color w:val="2E75B6"/>
          <w:sz w:val="24"/>
        </w:rPr>
        <w:t>5.4 Feature vs Target Relationship</w:t>
      </w:r>
    </w:p>
    <w:p>
      <w:pPr>
        <w:spacing w:after="80" w:line="276" w:lineRule="auto"/>
      </w:pPr>
      <w:r>
        <w:rPr>
          <w:sz w:val="21"/>
        </w:rPr>
        <w:t>Features were individually compared against Is_Phishing using boxplots and mean-difference analysis. URL_Entropy, Domain_Age_Days, and Has_HTTPS emerged as some of the strongest discriminators — phishing sites showed markedly higher entropy, lower domain age, and far lower HTTPS adoption than legitimate ones.</w:t>
      </w:r>
    </w:p>
    <w:p>
      <w:pPr>
        <w:keepNext/>
        <w:spacing w:before="160" w:after="60"/>
        <w:jc w:val="center"/>
      </w:pPr>
      <w:r>
        <w:drawing>
          <wp:inline xmlns:a="http://schemas.openxmlformats.org/drawingml/2006/main" xmlns:pic="http://schemas.openxmlformats.org/drawingml/2006/picture">
            <wp:extent cx="5029200" cy="3520440"/>
            <wp:docPr id="5" name="Picture 5"/>
            <wp:cNvGraphicFramePr>
              <a:graphicFrameLocks noChangeAspect="1"/>
            </wp:cNvGraphicFramePr>
            <a:graphic>
              <a:graphicData uri="http://schemas.openxmlformats.org/drawingml/2006/picture">
                <pic:pic>
                  <pic:nvPicPr>
                    <pic:cNvPr id="0" name="fig_5_4_feature_target_correlation.png"/>
                    <pic:cNvPicPr/>
                  </pic:nvPicPr>
                  <pic:blipFill>
                    <a:blip r:embed="rId13"/>
                    <a:stretch>
                      <a:fillRect/>
                    </a:stretch>
                  </pic:blipFill>
                  <pic:spPr>
                    <a:xfrm>
                      <a:off x="0" y="0"/>
                      <a:ext cx="5029200" cy="3520440"/>
                    </a:xfrm>
                    <a:prstGeom prst="rect"/>
                  </pic:spPr>
                </pic:pic>
              </a:graphicData>
            </a:graphic>
          </wp:inline>
        </w:drawing>
      </w:r>
    </w:p>
    <w:p>
      <w:pPr>
        <w:spacing w:before="0" w:after="160"/>
        <w:jc w:val="center"/>
      </w:pPr>
      <w:r>
        <w:rPr>
          <w:b/>
          <w:i/>
          <w:color w:val="3C3C3C"/>
          <w:sz w:val="19"/>
        </w:rPr>
        <w:t>Figure 5.4 — Ranked correlation of each feature with Is_Phishing</w:t>
      </w:r>
    </w:p>
    <w:p>
      <w:pPr>
        <w:keepNext/>
        <w:spacing w:before="280" w:after="80"/>
      </w:pPr>
      <w:r>
        <w:rPr>
          <w:rFonts w:ascii="Calibri" w:hAnsi="Calibri"/>
          <w:b/>
          <w:color w:val="1F4E79"/>
          <w:sz w:val="28"/>
        </w:rPr>
        <w:t>6. Methodology</w:t>
      </w:r>
    </w:p>
    <w:p>
      <w:pPr>
        <w:keepNext/>
        <w:spacing w:before="200" w:after="60"/>
      </w:pPr>
      <w:r>
        <w:rPr>
          <w:rFonts w:ascii="Calibri" w:hAnsi="Calibri"/>
          <w:b/>
          <w:color w:val="2E75B6"/>
          <w:sz w:val="24"/>
        </w:rPr>
        <w:t>6.1 Data Cleaning Pipeline</w:t>
      </w:r>
    </w:p>
    <w:p>
      <w:pPr>
        <w:spacing w:after="80" w:line="276" w:lineRule="auto"/>
      </w:pPr>
      <w:r>
        <w:rPr>
          <w:sz w:val="21"/>
        </w:rPr>
        <w:t>The raw dataset was passed through a structured cleaning pipeline before any analysis or modelling, ensuring downstream results are trustworthy:</w:t>
      </w:r>
    </w:p>
    <w:p>
      <w:pPr>
        <w:spacing w:after="60" w:line="276" w:lineRule="auto"/>
        <w:ind w:left="360"/>
      </w:pPr>
      <w:r>
        <w:rPr>
          <w:color w:val="1F4E79"/>
          <w:sz w:val="16"/>
        </w:rPr>
        <w:t xml:space="preserve">●  </w:t>
      </w:r>
      <w:r>
        <w:rPr>
          <w:sz w:val="21"/>
        </w:rPr>
        <w:t>Checked and confirmed zero missing values and zero duplicate rows after the initial pass; verified the target column contained only valid 0/1 labels.</w:t>
      </w:r>
    </w:p>
    <w:p>
      <w:pPr>
        <w:spacing w:after="60" w:line="276" w:lineRule="auto"/>
        <w:ind w:left="360"/>
      </w:pPr>
      <w:r>
        <w:rPr>
          <w:color w:val="1F4E79"/>
          <w:sz w:val="16"/>
        </w:rPr>
        <w:t xml:space="preserve">●  </w:t>
      </w:r>
      <w:r>
        <w:rPr>
          <w:sz w:val="21"/>
        </w:rPr>
        <w:t>Replaced invalid negative values in 13 count/length columns (e.g. URL_Length, Domain_Age_Days, Form_Count) with NaN, since a negative count/length is not physically meaningful.</w:t>
      </w:r>
    </w:p>
    <w:p>
      <w:pPr>
        <w:spacing w:after="60" w:line="276" w:lineRule="auto"/>
        <w:ind w:left="360"/>
      </w:pPr>
      <w:r>
        <w:rPr>
          <w:color w:val="1F4E79"/>
          <w:sz w:val="16"/>
        </w:rPr>
        <w:t xml:space="preserve">●  </w:t>
      </w:r>
      <w:r>
        <w:rPr>
          <w:sz w:val="21"/>
        </w:rPr>
        <w:t>Corrected 5 binary columns (Has_IP_Address, Has_HTTPS, Has_Suspicious_Words, Password_Field_Present, Favicon_External) so that only valid {0, 1} values remain, converting any invalid entries to NaN.</w:t>
      </w:r>
    </w:p>
    <w:p>
      <w:pPr>
        <w:spacing w:after="60" w:line="276" w:lineRule="auto"/>
        <w:ind w:left="360"/>
      </w:pPr>
      <w:r>
        <w:rPr>
          <w:color w:val="1F4E79"/>
          <w:sz w:val="16"/>
        </w:rPr>
        <w:t xml:space="preserve">●  </w:t>
      </w:r>
      <w:r>
        <w:rPr>
          <w:sz w:val="21"/>
        </w:rPr>
        <w:t>Clipped 2 ratio columns (External_Link_Ratio, Image_Link_Ratio) to their valid 0–1 range, converting out-of-range values to NaN.</w:t>
      </w:r>
    </w:p>
    <w:p>
      <w:pPr>
        <w:spacing w:after="60" w:line="276" w:lineRule="auto"/>
        <w:ind w:left="360"/>
      </w:pPr>
      <w:r>
        <w:rPr>
          <w:color w:val="1F4E79"/>
          <w:sz w:val="16"/>
        </w:rPr>
        <w:t xml:space="preserve">●  </w:t>
      </w:r>
      <w:r>
        <w:rPr>
          <w:sz w:val="21"/>
        </w:rPr>
        <w:t>Filled all resulting missing numeric values using median imputation (robust to outliers, unlike mean imputation).</w:t>
      </w:r>
    </w:p>
    <w:p>
      <w:pPr>
        <w:spacing w:after="60" w:line="276" w:lineRule="auto"/>
        <w:ind w:left="360"/>
      </w:pPr>
      <w:r>
        <w:rPr>
          <w:color w:val="1F4E79"/>
          <w:sz w:val="16"/>
        </w:rPr>
        <w:t xml:space="preserve">●  </w:t>
      </w:r>
      <w:r>
        <w:rPr>
          <w:sz w:val="21"/>
        </w:rPr>
        <w:t>Cast count/length columns and binary columns to integer type, and the target column to integer type, for a clean, model-ready schema.</w:t>
      </w:r>
    </w:p>
    <w:p>
      <w:pPr>
        <w:spacing w:after="60" w:line="276" w:lineRule="auto"/>
        <w:ind w:left="360"/>
      </w:pPr>
      <w:r>
        <w:rPr>
          <w:color w:val="1F4E79"/>
          <w:sz w:val="16"/>
        </w:rPr>
        <w:t xml:space="preserve">●  </w:t>
      </w:r>
      <w:r>
        <w:rPr>
          <w:sz w:val="21"/>
        </w:rPr>
        <w:t>Ran a final verification pass confirming zero missing values, zero duplicates, and a valid target distribution before exporting phishing_website_cleaned.xlsx.</w:t>
      </w:r>
    </w:p>
    <w:p>
      <w:pPr>
        <w:keepNext/>
        <w:spacing w:before="200" w:after="60"/>
      </w:pPr>
      <w:r>
        <w:rPr>
          <w:rFonts w:ascii="Calibri" w:hAnsi="Calibri"/>
          <w:b/>
          <w:color w:val="2E75B6"/>
          <w:sz w:val="24"/>
        </w:rPr>
        <w:t>6.2 Preprocessing &amp; Feature Representation</w:t>
      </w:r>
    </w:p>
    <w:p>
      <w:pPr>
        <w:spacing w:after="60" w:line="276" w:lineRule="auto"/>
        <w:ind w:left="360"/>
      </w:pPr>
      <w:r>
        <w:rPr>
          <w:color w:val="1F4E79"/>
          <w:sz w:val="16"/>
        </w:rPr>
        <w:t xml:space="preserve">●  </w:t>
      </w:r>
      <w:r>
        <w:rPr>
          <w:sz w:val="21"/>
        </w:rPr>
        <w:t>Defined X (20 features) and y (Is_Phishing) from the cleaned dataframe.</w:t>
      </w:r>
    </w:p>
    <w:p>
      <w:pPr>
        <w:spacing w:after="60" w:line="276" w:lineRule="auto"/>
        <w:ind w:left="360"/>
      </w:pPr>
      <w:r>
        <w:rPr>
          <w:color w:val="1F4E79"/>
          <w:sz w:val="16"/>
        </w:rPr>
        <w:t xml:space="preserve">●  </w:t>
      </w:r>
      <w:r>
        <w:rPr>
          <w:sz w:val="21"/>
        </w:rPr>
        <w:t>Train/test split: 80% / 20% (20,000 / 5,000 rows), stratified on the target to preserve the 59/41 class ratio in both splits.</w:t>
      </w:r>
    </w:p>
    <w:p>
      <w:pPr>
        <w:spacing w:after="60" w:line="276" w:lineRule="auto"/>
        <w:ind w:left="360"/>
      </w:pPr>
      <w:r>
        <w:rPr>
          <w:color w:val="1F4E79"/>
          <w:sz w:val="16"/>
        </w:rPr>
        <w:t xml:space="preserve">●  </w:t>
      </w:r>
      <w:r>
        <w:rPr>
          <w:sz w:val="21"/>
        </w:rPr>
        <w:t>Feature scaling: StandardScaler fit on the training set and applied to both train and test sets, used specifically for the Logistic Regression pipeline since distance/gradient-based models are scale-sensitive. Tree-based models (Decision Tree, Random Forest) were trained on the unscaled features, since split-based trees are scale-invariant.</w:t>
      </w:r>
    </w:p>
    <w:p>
      <w:pPr>
        <w:keepNext/>
        <w:spacing w:before="200" w:after="60"/>
      </w:pPr>
      <w:r>
        <w:rPr>
          <w:rFonts w:ascii="Calibri" w:hAnsi="Calibri"/>
          <w:b/>
          <w:color w:val="2E75B6"/>
          <w:sz w:val="24"/>
        </w:rPr>
        <w:t>6.3 Model Training &amp; Evaluation Strategy</w:t>
      </w:r>
    </w:p>
    <w:p>
      <w:pPr>
        <w:spacing w:after="80" w:line="276" w:lineRule="auto"/>
      </w:pPr>
      <w:r>
        <w:rPr>
          <w:sz w:val="21"/>
        </w:rPr>
        <w:t>Three classifiers were trained on the training split and evaluated on the held-out test split using accuracy, precision, recall, and F1-score (F1 was the primary selection metric given the moderate class imbalance):</w:t>
      </w:r>
    </w:p>
    <w:tbl>
      <w:tblPr>
        <w:tblW w:type="auto" w:w="0"/>
        <w:jc w:val="center"/>
        <w:tblLayout w:type="fixed"/>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1872"/>
        <w:gridCol w:w="1872"/>
        <w:gridCol w:w="1872"/>
        <w:gridCol w:w="1872"/>
        <w:gridCol w:w="1872"/>
      </w:tblGrid>
      <w:tr>
        <w:trPr>
          <w:tblHeader/>
        </w:trPr>
        <w:tc>
          <w:tcPr>
            <w:tcW w:type="dxa" w:w="3168"/>
            <w:shd w:fill="1F4E79"/>
            <w:tcMar>
              <w:top w:w="100" w:type="dxa"/>
              <w:bottom w:w="100" w:type="dxa"/>
              <w:left w:w="120" w:type="dxa"/>
              <w:right w:w="120" w:type="dxa"/>
            </w:tcMar>
          </w:tcPr>
          <w:p>
            <w:pPr>
              <w:jc w:val="left"/>
            </w:pPr>
            <w:r>
              <w:rPr>
                <w:b/>
                <w:color w:val="FFFFFF"/>
                <w:sz w:val="19"/>
              </w:rPr>
              <w:t>Model</w:t>
            </w:r>
          </w:p>
        </w:tc>
        <w:tc>
          <w:tcPr>
            <w:tcW w:type="dxa" w:w="1584"/>
            <w:shd w:fill="1F4E79"/>
            <w:tcMar>
              <w:top w:w="100" w:type="dxa"/>
              <w:bottom w:w="100" w:type="dxa"/>
              <w:left w:w="120" w:type="dxa"/>
              <w:right w:w="120" w:type="dxa"/>
            </w:tcMar>
          </w:tcPr>
          <w:p>
            <w:pPr>
              <w:jc w:val="right"/>
            </w:pPr>
            <w:r>
              <w:rPr>
                <w:b/>
                <w:color w:val="FFFFFF"/>
                <w:sz w:val="19"/>
              </w:rPr>
              <w:t>Accuracy</w:t>
            </w:r>
          </w:p>
        </w:tc>
        <w:tc>
          <w:tcPr>
            <w:tcW w:type="dxa" w:w="1584"/>
            <w:shd w:fill="1F4E79"/>
            <w:tcMar>
              <w:top w:w="100" w:type="dxa"/>
              <w:bottom w:w="100" w:type="dxa"/>
              <w:left w:w="120" w:type="dxa"/>
              <w:right w:w="120" w:type="dxa"/>
            </w:tcMar>
          </w:tcPr>
          <w:p>
            <w:pPr>
              <w:jc w:val="right"/>
            </w:pPr>
            <w:r>
              <w:rPr>
                <w:b/>
                <w:color w:val="FFFFFF"/>
                <w:sz w:val="19"/>
              </w:rPr>
              <w:t>Precision</w:t>
            </w:r>
          </w:p>
        </w:tc>
        <w:tc>
          <w:tcPr>
            <w:tcW w:type="dxa" w:w="1584"/>
            <w:shd w:fill="1F4E79"/>
            <w:tcMar>
              <w:top w:w="100" w:type="dxa"/>
              <w:bottom w:w="100" w:type="dxa"/>
              <w:left w:w="120" w:type="dxa"/>
              <w:right w:w="120" w:type="dxa"/>
            </w:tcMar>
          </w:tcPr>
          <w:p>
            <w:pPr>
              <w:jc w:val="right"/>
            </w:pPr>
            <w:r>
              <w:rPr>
                <w:b/>
                <w:color w:val="FFFFFF"/>
                <w:sz w:val="19"/>
              </w:rPr>
              <w:t>Recall</w:t>
            </w:r>
          </w:p>
        </w:tc>
        <w:tc>
          <w:tcPr>
            <w:tcW w:type="dxa" w:w="1584"/>
            <w:shd w:fill="1F4E79"/>
            <w:tcMar>
              <w:top w:w="100" w:type="dxa"/>
              <w:bottom w:w="100" w:type="dxa"/>
              <w:left w:w="120" w:type="dxa"/>
              <w:right w:w="120" w:type="dxa"/>
            </w:tcMar>
          </w:tcPr>
          <w:p>
            <w:pPr>
              <w:jc w:val="right"/>
            </w:pPr>
            <w:r>
              <w:rPr>
                <w:b/>
                <w:color w:val="FFFFFF"/>
                <w:sz w:val="19"/>
              </w:rPr>
              <w:t>F1-Score</w:t>
            </w:r>
          </w:p>
        </w:tc>
      </w:tr>
      <w:tr>
        <w:tc>
          <w:tcPr>
            <w:tcW w:type="dxa" w:w="3168"/>
            <w:shd w:fill="F4F8FC"/>
            <w:tcMar>
              <w:top w:w="80" w:type="dxa"/>
              <w:bottom w:w="80" w:type="dxa"/>
              <w:left w:w="120" w:type="dxa"/>
              <w:right w:w="120" w:type="dxa"/>
            </w:tcMar>
          </w:tcPr>
          <w:p>
            <w:pPr>
              <w:jc w:val="left"/>
            </w:pPr>
            <w:r>
              <w:rPr>
                <w:color w:val="282828"/>
                <w:sz w:val="19"/>
              </w:rPr>
              <w:t>Logistic Regression</w:t>
            </w:r>
          </w:p>
        </w:tc>
        <w:tc>
          <w:tcPr>
            <w:tcW w:type="dxa" w:w="1584"/>
            <w:shd w:fill="F4F8FC"/>
            <w:tcMar>
              <w:top w:w="80" w:type="dxa"/>
              <w:bottom w:w="80" w:type="dxa"/>
              <w:left w:w="120" w:type="dxa"/>
              <w:right w:w="120" w:type="dxa"/>
            </w:tcMar>
          </w:tcPr>
          <w:p>
            <w:pPr>
              <w:jc w:val="right"/>
            </w:pPr>
            <w:r>
              <w:rPr>
                <w:color w:val="282828"/>
                <w:sz w:val="19"/>
              </w:rPr>
              <w:t>0.9710</w:t>
            </w:r>
          </w:p>
        </w:tc>
        <w:tc>
          <w:tcPr>
            <w:tcW w:type="dxa" w:w="1584"/>
            <w:shd w:fill="F4F8FC"/>
            <w:tcMar>
              <w:top w:w="80" w:type="dxa"/>
              <w:bottom w:w="80" w:type="dxa"/>
              <w:left w:w="120" w:type="dxa"/>
              <w:right w:w="120" w:type="dxa"/>
            </w:tcMar>
          </w:tcPr>
          <w:p>
            <w:pPr>
              <w:jc w:val="right"/>
            </w:pPr>
            <w:r>
              <w:rPr>
                <w:color w:val="282828"/>
                <w:sz w:val="19"/>
              </w:rPr>
              <w:t>0.9697</w:t>
            </w:r>
          </w:p>
        </w:tc>
        <w:tc>
          <w:tcPr>
            <w:tcW w:type="dxa" w:w="1584"/>
            <w:shd w:fill="F4F8FC"/>
            <w:tcMar>
              <w:top w:w="80" w:type="dxa"/>
              <w:bottom w:w="80" w:type="dxa"/>
              <w:left w:w="120" w:type="dxa"/>
              <w:right w:w="120" w:type="dxa"/>
            </w:tcMar>
          </w:tcPr>
          <w:p>
            <w:pPr>
              <w:jc w:val="right"/>
            </w:pPr>
            <w:r>
              <w:rPr>
                <w:color w:val="282828"/>
                <w:sz w:val="19"/>
              </w:rPr>
              <w:t>0.9588</w:t>
            </w:r>
          </w:p>
        </w:tc>
        <w:tc>
          <w:tcPr>
            <w:tcW w:type="dxa" w:w="1584"/>
            <w:shd w:fill="F4F8FC"/>
            <w:tcMar>
              <w:top w:w="80" w:type="dxa"/>
              <w:bottom w:w="80" w:type="dxa"/>
              <w:left w:w="120" w:type="dxa"/>
              <w:right w:w="120" w:type="dxa"/>
            </w:tcMar>
          </w:tcPr>
          <w:p>
            <w:pPr>
              <w:jc w:val="right"/>
            </w:pPr>
            <w:r>
              <w:rPr>
                <w:color w:val="282828"/>
                <w:sz w:val="19"/>
              </w:rPr>
              <w:t>0.9642</w:t>
            </w:r>
          </w:p>
        </w:tc>
      </w:tr>
      <w:tr>
        <w:tc>
          <w:tcPr>
            <w:tcW w:type="dxa" w:w="3168"/>
            <w:shd w:fill="FFFFFF"/>
            <w:tcMar>
              <w:top w:w="80" w:type="dxa"/>
              <w:bottom w:w="80" w:type="dxa"/>
              <w:left w:w="120" w:type="dxa"/>
              <w:right w:w="120" w:type="dxa"/>
            </w:tcMar>
          </w:tcPr>
          <w:p>
            <w:pPr>
              <w:jc w:val="left"/>
            </w:pPr>
            <w:r>
              <w:rPr>
                <w:color w:val="282828"/>
                <w:sz w:val="19"/>
              </w:rPr>
              <w:t>Decision Tree</w:t>
            </w:r>
          </w:p>
        </w:tc>
        <w:tc>
          <w:tcPr>
            <w:tcW w:type="dxa" w:w="1584"/>
            <w:shd w:fill="FFFFFF"/>
            <w:tcMar>
              <w:top w:w="80" w:type="dxa"/>
              <w:bottom w:w="80" w:type="dxa"/>
              <w:left w:w="120" w:type="dxa"/>
              <w:right w:w="120" w:type="dxa"/>
            </w:tcMar>
          </w:tcPr>
          <w:p>
            <w:pPr>
              <w:jc w:val="right"/>
            </w:pPr>
            <w:r>
              <w:rPr>
                <w:color w:val="282828"/>
                <w:sz w:val="19"/>
              </w:rPr>
              <w:t>0.9224</w:t>
            </w:r>
          </w:p>
        </w:tc>
        <w:tc>
          <w:tcPr>
            <w:tcW w:type="dxa" w:w="1584"/>
            <w:shd w:fill="FFFFFF"/>
            <w:tcMar>
              <w:top w:w="80" w:type="dxa"/>
              <w:bottom w:w="80" w:type="dxa"/>
              <w:left w:w="120" w:type="dxa"/>
              <w:right w:w="120" w:type="dxa"/>
            </w:tcMar>
          </w:tcPr>
          <w:p>
            <w:pPr>
              <w:jc w:val="right"/>
            </w:pPr>
            <w:r>
              <w:rPr>
                <w:color w:val="282828"/>
                <w:sz w:val="19"/>
              </w:rPr>
              <w:t>0.9013</w:t>
            </w:r>
          </w:p>
        </w:tc>
        <w:tc>
          <w:tcPr>
            <w:tcW w:type="dxa" w:w="1584"/>
            <w:shd w:fill="FFFFFF"/>
            <w:tcMar>
              <w:top w:w="80" w:type="dxa"/>
              <w:bottom w:w="80" w:type="dxa"/>
              <w:left w:w="120" w:type="dxa"/>
              <w:right w:w="120" w:type="dxa"/>
            </w:tcMar>
          </w:tcPr>
          <w:p>
            <w:pPr>
              <w:jc w:val="right"/>
            </w:pPr>
            <w:r>
              <w:rPr>
                <w:color w:val="282828"/>
                <w:sz w:val="19"/>
              </w:rPr>
              <w:t>0.9093</w:t>
            </w:r>
          </w:p>
        </w:tc>
        <w:tc>
          <w:tcPr>
            <w:tcW w:type="dxa" w:w="1584"/>
            <w:shd w:fill="FFFFFF"/>
            <w:tcMar>
              <w:top w:w="80" w:type="dxa"/>
              <w:bottom w:w="80" w:type="dxa"/>
              <w:left w:w="120" w:type="dxa"/>
              <w:right w:w="120" w:type="dxa"/>
            </w:tcMar>
          </w:tcPr>
          <w:p>
            <w:pPr>
              <w:jc w:val="right"/>
            </w:pPr>
            <w:r>
              <w:rPr>
                <w:color w:val="282828"/>
                <w:sz w:val="19"/>
              </w:rPr>
              <w:t>0.9053</w:t>
            </w:r>
          </w:p>
        </w:tc>
      </w:tr>
      <w:tr>
        <w:tc>
          <w:tcPr>
            <w:tcW w:type="dxa" w:w="3168"/>
            <w:shd w:fill="F4F8FC"/>
            <w:tcMar>
              <w:top w:w="80" w:type="dxa"/>
              <w:bottom w:w="80" w:type="dxa"/>
              <w:left w:w="120" w:type="dxa"/>
              <w:right w:w="120" w:type="dxa"/>
            </w:tcMar>
          </w:tcPr>
          <w:p>
            <w:pPr>
              <w:jc w:val="left"/>
            </w:pPr>
            <w:r>
              <w:rPr>
                <w:color w:val="282828"/>
                <w:sz w:val="19"/>
              </w:rPr>
              <w:t>Random Forest</w:t>
            </w:r>
          </w:p>
        </w:tc>
        <w:tc>
          <w:tcPr>
            <w:tcW w:type="dxa" w:w="1584"/>
            <w:shd w:fill="F4F8FC"/>
            <w:tcMar>
              <w:top w:w="80" w:type="dxa"/>
              <w:bottom w:w="80" w:type="dxa"/>
              <w:left w:w="120" w:type="dxa"/>
              <w:right w:w="120" w:type="dxa"/>
            </w:tcMar>
          </w:tcPr>
          <w:p>
            <w:pPr>
              <w:jc w:val="right"/>
            </w:pPr>
            <w:r>
              <w:rPr>
                <w:color w:val="282828"/>
                <w:sz w:val="19"/>
              </w:rPr>
              <w:t>0.9712</w:t>
            </w:r>
          </w:p>
        </w:tc>
        <w:tc>
          <w:tcPr>
            <w:tcW w:type="dxa" w:w="1584"/>
            <w:shd w:fill="F4F8FC"/>
            <w:tcMar>
              <w:top w:w="80" w:type="dxa"/>
              <w:bottom w:w="80" w:type="dxa"/>
              <w:left w:w="120" w:type="dxa"/>
              <w:right w:w="120" w:type="dxa"/>
            </w:tcMar>
          </w:tcPr>
          <w:p>
            <w:pPr>
              <w:jc w:val="right"/>
            </w:pPr>
            <w:r>
              <w:rPr>
                <w:color w:val="282828"/>
                <w:sz w:val="19"/>
              </w:rPr>
              <w:t>0.9693</w:t>
            </w:r>
          </w:p>
        </w:tc>
        <w:tc>
          <w:tcPr>
            <w:tcW w:type="dxa" w:w="1584"/>
            <w:shd w:fill="F4F8FC"/>
            <w:tcMar>
              <w:top w:w="80" w:type="dxa"/>
              <w:bottom w:w="80" w:type="dxa"/>
              <w:left w:w="120" w:type="dxa"/>
              <w:right w:w="120" w:type="dxa"/>
            </w:tcMar>
          </w:tcPr>
          <w:p>
            <w:pPr>
              <w:jc w:val="right"/>
            </w:pPr>
            <w:r>
              <w:rPr>
                <w:color w:val="282828"/>
                <w:sz w:val="19"/>
              </w:rPr>
              <w:t>0.9598</w:t>
            </w:r>
          </w:p>
        </w:tc>
        <w:tc>
          <w:tcPr>
            <w:tcW w:type="dxa" w:w="1584"/>
            <w:shd w:fill="F4F8FC"/>
            <w:tcMar>
              <w:top w:w="80" w:type="dxa"/>
              <w:bottom w:w="80" w:type="dxa"/>
              <w:left w:w="120" w:type="dxa"/>
              <w:right w:w="120" w:type="dxa"/>
            </w:tcMar>
          </w:tcPr>
          <w:p>
            <w:pPr>
              <w:jc w:val="right"/>
            </w:pPr>
            <w:r>
              <w:rPr>
                <w:color w:val="282828"/>
                <w:sz w:val="19"/>
              </w:rPr>
              <w:t>0.9645</w:t>
            </w:r>
          </w:p>
        </w:tc>
      </w:tr>
    </w:tbl>
    <w:p>
      <w:pPr>
        <w:spacing w:after="80" w:line="276" w:lineRule="auto"/>
      </w:pPr>
      <w:r>
        <w:rPr>
          <w:sz w:val="21"/>
        </w:rPr>
        <w:t>Random Forest achieved the highest F1-score and was selected as the best model.</w:t>
      </w:r>
    </w:p>
    <w:p>
      <w:pPr>
        <w:keepNext/>
        <w:spacing w:before="200" w:after="60"/>
      </w:pPr>
      <w:r>
        <w:rPr>
          <w:rFonts w:ascii="Calibri" w:hAnsi="Calibri"/>
          <w:b/>
          <w:color w:val="2E75B6"/>
          <w:sz w:val="24"/>
        </w:rPr>
        <w:t>5.5 Hyperparameter Tuning</w:t>
      </w:r>
    </w:p>
    <w:p>
      <w:pPr>
        <w:spacing w:after="80" w:line="276" w:lineRule="auto"/>
      </w:pPr>
      <w:r>
        <w:rPr>
          <w:sz w:val="21"/>
        </w:rPr>
        <w:t>GridSearchCV (5-fold cross-validation, scoring = F1) was used to tune Random Forest. Best parameters found: max_depth = 20, min_samples_leaf = 2, min_samples_split = 5, n_estimators = 100, giving a cross-validated F1-score of 0.9622.</w:t>
      </w:r>
    </w:p>
    <w:p>
      <w:pPr>
        <w:keepNext/>
        <w:spacing w:before="280" w:after="80"/>
      </w:pPr>
      <w:r>
        <w:rPr>
          <w:rFonts w:ascii="Calibri" w:hAnsi="Calibri"/>
          <w:b/>
          <w:color w:val="1F4E79"/>
          <w:sz w:val="28"/>
        </w:rPr>
        <w:t>7. Applications</w:t>
      </w:r>
    </w:p>
    <w:p>
      <w:pPr>
        <w:spacing w:after="60" w:line="276" w:lineRule="auto"/>
        <w:ind w:left="360"/>
      </w:pPr>
      <w:r>
        <w:rPr>
          <w:color w:val="1F4E79"/>
          <w:sz w:val="16"/>
        </w:rPr>
        <w:t xml:space="preserve">●  </w:t>
      </w:r>
      <w:r>
        <w:rPr>
          <w:sz w:val="21"/>
        </w:rPr>
        <w:t>Browser security extensions that warn users before they submit data on a suspicious site.</w:t>
      </w:r>
    </w:p>
    <w:p>
      <w:pPr>
        <w:spacing w:after="60" w:line="276" w:lineRule="auto"/>
        <w:ind w:left="360"/>
      </w:pPr>
      <w:r>
        <w:rPr>
          <w:color w:val="1F4E79"/>
          <w:sz w:val="16"/>
        </w:rPr>
        <w:t xml:space="preserve">●  </w:t>
      </w:r>
      <w:r>
        <w:rPr>
          <w:sz w:val="21"/>
        </w:rPr>
        <w:t>Email security gateways that scan links in incoming emails for phishing risk.</w:t>
      </w:r>
    </w:p>
    <w:p>
      <w:pPr>
        <w:spacing w:after="60" w:line="276" w:lineRule="auto"/>
        <w:ind w:left="360"/>
      </w:pPr>
      <w:r>
        <w:rPr>
          <w:color w:val="1F4E79"/>
          <w:sz w:val="16"/>
        </w:rPr>
        <w:t xml:space="preserve">●  </w:t>
      </w:r>
      <w:r>
        <w:rPr>
          <w:sz w:val="21"/>
        </w:rPr>
        <w:t>Enterprise network firewalls / DNS filtering to block malicious domains automatically.</w:t>
      </w:r>
    </w:p>
    <w:p>
      <w:pPr>
        <w:spacing w:after="60" w:line="276" w:lineRule="auto"/>
        <w:ind w:left="360"/>
      </w:pPr>
      <w:r>
        <w:rPr>
          <w:color w:val="1F4E79"/>
          <w:sz w:val="16"/>
        </w:rPr>
        <w:t xml:space="preserve">●  </w:t>
      </w:r>
      <w:r>
        <w:rPr>
          <w:sz w:val="21"/>
        </w:rPr>
        <w:t>Banking and e-commerce platforms adding a real-time URL risk-check at checkout or login.</w:t>
      </w:r>
    </w:p>
    <w:p>
      <w:pPr>
        <w:spacing w:after="60" w:line="276" w:lineRule="auto"/>
        <w:ind w:left="360"/>
      </w:pPr>
      <w:r>
        <w:rPr>
          <w:color w:val="1F4E79"/>
          <w:sz w:val="16"/>
        </w:rPr>
        <w:t xml:space="preserve">●  </w:t>
      </w:r>
      <w:r>
        <w:rPr>
          <w:sz w:val="21"/>
        </w:rPr>
        <w:t>Security-awareness training tools that demonstrate phishing indicators to employees.</w:t>
      </w:r>
    </w:p>
    <w:p>
      <w:pPr>
        <w:keepNext/>
        <w:spacing w:before="280" w:after="80"/>
      </w:pPr>
      <w:r>
        <w:rPr>
          <w:rFonts w:ascii="Calibri" w:hAnsi="Calibri"/>
          <w:b/>
          <w:color w:val="1F4E79"/>
          <w:sz w:val="28"/>
        </w:rPr>
        <w:t>8. Functional Requirements</w:t>
      </w:r>
    </w:p>
    <w:p>
      <w:pPr>
        <w:spacing w:after="60" w:line="276" w:lineRule="auto"/>
        <w:ind w:left="360"/>
      </w:pPr>
      <w:r>
        <w:rPr>
          <w:color w:val="1F4E79"/>
          <w:sz w:val="16"/>
        </w:rPr>
        <w:t xml:space="preserve">●  </w:t>
      </w:r>
      <w:r>
        <w:rPr>
          <w:sz w:val="21"/>
        </w:rPr>
        <w:t>Accept a set of website/URL features as input (manual entry or via the dashboard form).</w:t>
      </w:r>
    </w:p>
    <w:p>
      <w:pPr>
        <w:spacing w:after="60" w:line="276" w:lineRule="auto"/>
        <w:ind w:left="360"/>
      </w:pPr>
      <w:r>
        <w:rPr>
          <w:color w:val="1F4E79"/>
          <w:sz w:val="16"/>
        </w:rPr>
        <w:t xml:space="preserve">●  </w:t>
      </w:r>
      <w:r>
        <w:rPr>
          <w:sz w:val="21"/>
        </w:rPr>
        <w:t>Return a binary prediction (Phishing / Legitimate) along with a confidence/probability score.</w:t>
      </w:r>
    </w:p>
    <w:p>
      <w:pPr>
        <w:spacing w:after="60" w:line="276" w:lineRule="auto"/>
        <w:ind w:left="360"/>
      </w:pPr>
      <w:r>
        <w:rPr>
          <w:color w:val="1F4E79"/>
          <w:sz w:val="16"/>
        </w:rPr>
        <w:t xml:space="preserve">●  </w:t>
      </w:r>
      <w:r>
        <w:rPr>
          <w:sz w:val="21"/>
        </w:rPr>
        <w:t>Display dataset overview, EDA visuals, preprocessing summary, and model comparison in the dashboard.</w:t>
      </w:r>
    </w:p>
    <w:p>
      <w:pPr>
        <w:spacing w:after="60" w:line="276" w:lineRule="auto"/>
        <w:ind w:left="360"/>
      </w:pPr>
      <w:r>
        <w:rPr>
          <w:color w:val="1F4E79"/>
          <w:sz w:val="16"/>
        </w:rPr>
        <w:t xml:space="preserve">●  </w:t>
      </w:r>
      <w:r>
        <w:rPr>
          <w:sz w:val="21"/>
        </w:rPr>
        <w:t>Allow the trained model artifact to be downloaded from the app.</w:t>
      </w:r>
    </w:p>
    <w:p>
      <w:pPr>
        <w:spacing w:after="60" w:line="276" w:lineRule="auto"/>
        <w:ind w:left="360"/>
      </w:pPr>
      <w:r>
        <w:rPr>
          <w:color w:val="1F4E79"/>
          <w:sz w:val="16"/>
        </w:rPr>
        <w:t xml:space="preserve">●  </w:t>
      </w:r>
      <w:r>
        <w:rPr>
          <w:sz w:val="21"/>
        </w:rPr>
        <w:t>Show evaluation visuals: confusion matrix, ROC curve, precision-recall curve, feature importance.</w:t>
      </w:r>
    </w:p>
    <w:p>
      <w:pPr>
        <w:keepNext/>
        <w:spacing w:before="280" w:after="80"/>
      </w:pPr>
      <w:r>
        <w:rPr>
          <w:rFonts w:ascii="Calibri" w:hAnsi="Calibri"/>
          <w:b/>
          <w:color w:val="1F4E79"/>
          <w:sz w:val="28"/>
        </w:rPr>
        <w:t>9. Non-Functional Requirements</w:t>
      </w:r>
    </w:p>
    <w:p>
      <w:pPr>
        <w:spacing w:after="60" w:line="276" w:lineRule="auto"/>
        <w:ind w:left="360"/>
      </w:pPr>
      <w:r>
        <w:rPr>
          <w:color w:val="1F4E79"/>
          <w:sz w:val="16"/>
        </w:rPr>
        <w:t xml:space="preserve">●  </w:t>
      </w:r>
      <w:r>
        <w:rPr>
          <w:sz w:val="21"/>
        </w:rPr>
        <w:t>Performance: prediction latency under 1 second per request on standard hardware.</w:t>
      </w:r>
    </w:p>
    <w:p>
      <w:pPr>
        <w:spacing w:after="60" w:line="276" w:lineRule="auto"/>
        <w:ind w:left="360"/>
      </w:pPr>
      <w:r>
        <w:rPr>
          <w:color w:val="1F4E79"/>
          <w:sz w:val="16"/>
        </w:rPr>
        <w:t xml:space="preserve">●  </w:t>
      </w:r>
      <w:r>
        <w:rPr>
          <w:sz w:val="21"/>
        </w:rPr>
        <w:t>Usability: simple, guided Streamlit UI usable without ML expertise.</w:t>
      </w:r>
    </w:p>
    <w:p>
      <w:pPr>
        <w:spacing w:after="60" w:line="276" w:lineRule="auto"/>
        <w:ind w:left="360"/>
      </w:pPr>
      <w:r>
        <w:rPr>
          <w:color w:val="1F4E79"/>
          <w:sz w:val="16"/>
        </w:rPr>
        <w:t xml:space="preserve">●  </w:t>
      </w:r>
      <w:r>
        <w:rPr>
          <w:sz w:val="21"/>
        </w:rPr>
        <w:t>Reliability: consistent predictions via a fixed, versioned, serialized model (.pkl).</w:t>
      </w:r>
    </w:p>
    <w:p>
      <w:pPr>
        <w:spacing w:after="60" w:line="276" w:lineRule="auto"/>
        <w:ind w:left="360"/>
      </w:pPr>
      <w:r>
        <w:rPr>
          <w:color w:val="1F4E79"/>
          <w:sz w:val="16"/>
        </w:rPr>
        <w:t xml:space="preserve">●  </w:t>
      </w:r>
      <w:r>
        <w:rPr>
          <w:sz w:val="21"/>
        </w:rPr>
        <w:t>Scalability: pipeline can be retrained on larger datasets without code changes to the app layer.</w:t>
      </w:r>
    </w:p>
    <w:p>
      <w:pPr>
        <w:spacing w:after="60" w:line="276" w:lineRule="auto"/>
        <w:ind w:left="360"/>
      </w:pPr>
      <w:r>
        <w:rPr>
          <w:color w:val="1F4E79"/>
          <w:sz w:val="16"/>
        </w:rPr>
        <w:t xml:space="preserve">●  </w:t>
      </w:r>
      <w:r>
        <w:rPr>
          <w:sz w:val="21"/>
        </w:rPr>
        <w:t>Maintainability: modular notebook (cleaning → EDA → modeling → tuning → export) for easy updates.</w:t>
      </w:r>
    </w:p>
    <w:p>
      <w:pPr>
        <w:keepNext/>
        <w:spacing w:before="280" w:after="80"/>
      </w:pPr>
      <w:r>
        <w:rPr>
          <w:rFonts w:ascii="Calibri" w:hAnsi="Calibri"/>
          <w:b/>
          <w:color w:val="1F4E79"/>
          <w:sz w:val="28"/>
        </w:rPr>
        <w:t>10. Implementation Strategy</w:t>
      </w:r>
    </w:p>
    <w:p>
      <w:pPr>
        <w:keepNext/>
        <w:spacing w:before="200" w:after="60"/>
      </w:pPr>
      <w:r>
        <w:rPr>
          <w:rFonts w:ascii="Calibri" w:hAnsi="Calibri"/>
          <w:b/>
          <w:color w:val="2E75B6"/>
          <w:sz w:val="24"/>
        </w:rPr>
        <w:t>9.1 Pipeline / Architecture</w:t>
      </w:r>
    </w:p>
    <w:p>
      <w:pPr>
        <w:spacing w:after="80" w:line="276" w:lineRule="auto"/>
      </w:pPr>
      <w:r>
        <w:rPr>
          <w:sz w:val="21"/>
        </w:rPr>
        <w:t>Raw Dataset → Data Cleaning → EDA → Train/Test Split → Scaling (for Logistic Regression) → Model Training (3 models) → Comparison → Hyperparameter Tuning (GridSearchCV) → Final Model Export (joblib .pkl) → Streamlit Prediction App.</w:t>
      </w:r>
    </w:p>
    <w:p>
      <w:pPr>
        <w:keepNext/>
        <w:spacing w:before="200" w:after="60"/>
      </w:pPr>
      <w:r>
        <w:rPr>
          <w:rFonts w:ascii="Calibri" w:hAnsi="Calibri"/>
          <w:b/>
          <w:color w:val="2E75B6"/>
          <w:sz w:val="24"/>
        </w:rPr>
        <w:t>9.2 Tools &amp; Libraries</w:t>
      </w:r>
    </w:p>
    <w:p>
      <w:pPr>
        <w:spacing w:after="60" w:line="276" w:lineRule="auto"/>
        <w:ind w:left="360"/>
      </w:pPr>
      <w:r>
        <w:rPr>
          <w:color w:val="1F4E79"/>
          <w:sz w:val="16"/>
        </w:rPr>
        <w:t xml:space="preserve">●  </w:t>
      </w:r>
      <w:r>
        <w:rPr>
          <w:sz w:val="21"/>
        </w:rPr>
        <w:t>Language: Python 3</w:t>
      </w:r>
    </w:p>
    <w:p>
      <w:pPr>
        <w:spacing w:after="60" w:line="276" w:lineRule="auto"/>
        <w:ind w:left="360"/>
      </w:pPr>
      <w:r>
        <w:rPr>
          <w:color w:val="1F4E79"/>
          <w:sz w:val="16"/>
        </w:rPr>
        <w:t xml:space="preserve">●  </w:t>
      </w:r>
      <w:r>
        <w:rPr>
          <w:sz w:val="21"/>
        </w:rPr>
        <w:t>Data handling: pandas, numpy, openpyxl</w:t>
      </w:r>
    </w:p>
    <w:p>
      <w:pPr>
        <w:spacing w:after="60" w:line="276" w:lineRule="auto"/>
        <w:ind w:left="360"/>
      </w:pPr>
      <w:r>
        <w:rPr>
          <w:color w:val="1F4E79"/>
          <w:sz w:val="16"/>
        </w:rPr>
        <w:t xml:space="preserve">●  </w:t>
      </w:r>
      <w:r>
        <w:rPr>
          <w:sz w:val="21"/>
        </w:rPr>
        <w:t>Visualization: matplotlib, seaborn</w:t>
      </w:r>
    </w:p>
    <w:p>
      <w:pPr>
        <w:spacing w:after="60" w:line="276" w:lineRule="auto"/>
        <w:ind w:left="360"/>
      </w:pPr>
      <w:r>
        <w:rPr>
          <w:color w:val="1F4E79"/>
          <w:sz w:val="16"/>
        </w:rPr>
        <w:t xml:space="preserve">●  </w:t>
      </w:r>
      <w:r>
        <w:rPr>
          <w:sz w:val="21"/>
        </w:rPr>
        <w:t>Modeling: scikit-learn (LogisticRegression, DecisionTreeClassifier, RandomForestClassifier, GridSearchCV)</w:t>
      </w:r>
    </w:p>
    <w:p>
      <w:pPr>
        <w:spacing w:after="60" w:line="276" w:lineRule="auto"/>
        <w:ind w:left="360"/>
      </w:pPr>
      <w:r>
        <w:rPr>
          <w:color w:val="1F4E79"/>
          <w:sz w:val="16"/>
        </w:rPr>
        <w:t xml:space="preserve">●  </w:t>
      </w:r>
      <w:r>
        <w:rPr>
          <w:sz w:val="21"/>
        </w:rPr>
        <w:t>Model persistence: joblib</w:t>
      </w:r>
    </w:p>
    <w:p>
      <w:pPr>
        <w:spacing w:after="60" w:line="276" w:lineRule="auto"/>
        <w:ind w:left="360"/>
      </w:pPr>
      <w:r>
        <w:rPr>
          <w:color w:val="1F4E79"/>
          <w:sz w:val="16"/>
        </w:rPr>
        <w:t xml:space="preserve">●  </w:t>
      </w:r>
      <w:r>
        <w:rPr>
          <w:sz w:val="21"/>
        </w:rPr>
        <w:t>Deployment: Streamlit (multi-tab dashboard with sidebar controls)</w:t>
      </w:r>
    </w:p>
    <w:p>
      <w:pPr>
        <w:keepNext/>
        <w:spacing w:before="200" w:after="60"/>
      </w:pPr>
      <w:r>
        <w:rPr>
          <w:rFonts w:ascii="Calibri" w:hAnsi="Calibri"/>
          <w:b/>
          <w:color w:val="2E75B6"/>
          <w:sz w:val="24"/>
        </w:rPr>
        <w:t>10.3 Dashboard Overview</w:t>
      </w:r>
    </w:p>
    <w:p>
      <w:pPr>
        <w:spacing w:after="80" w:line="276" w:lineRule="auto"/>
      </w:pPr>
      <w:r>
        <w:rPr>
          <w:sz w:val="21"/>
        </w:rPr>
        <w:t>The Streamlit app is organized into seven tabs, each mirroring a stage of the notebook pipeline so a non-technical reviewer can follow the entire project visually:</w:t>
      </w:r>
    </w:p>
    <w:tbl>
      <w:tblPr>
        <w:tblW w:type="auto" w:w="0"/>
        <w:jc w:val="center"/>
        <w:tblLayout w:type="fixed"/>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4680"/>
        <w:gridCol w:w="4680"/>
      </w:tblGrid>
      <w:tr>
        <w:trPr>
          <w:tblHeader/>
        </w:trPr>
        <w:tc>
          <w:tcPr>
            <w:tcW w:type="dxa" w:w="3168"/>
            <w:shd w:fill="1F4E79"/>
            <w:tcMar>
              <w:top w:w="100" w:type="dxa"/>
              <w:bottom w:w="100" w:type="dxa"/>
              <w:left w:w="120" w:type="dxa"/>
              <w:right w:w="120" w:type="dxa"/>
            </w:tcMar>
          </w:tcPr>
          <w:p>
            <w:pPr>
              <w:jc w:val="left"/>
            </w:pPr>
            <w:r>
              <w:rPr>
                <w:b/>
                <w:color w:val="FFFFFF"/>
                <w:sz w:val="19"/>
              </w:rPr>
              <w:t>Tab</w:t>
            </w:r>
          </w:p>
        </w:tc>
        <w:tc>
          <w:tcPr>
            <w:tcW w:type="dxa" w:w="6192"/>
            <w:shd w:fill="1F4E79"/>
            <w:tcMar>
              <w:top w:w="100" w:type="dxa"/>
              <w:bottom w:w="100" w:type="dxa"/>
              <w:left w:w="120" w:type="dxa"/>
              <w:right w:w="120" w:type="dxa"/>
            </w:tcMar>
          </w:tcPr>
          <w:p>
            <w:pPr>
              <w:jc w:val="left"/>
            </w:pPr>
            <w:r>
              <w:rPr>
                <w:b/>
                <w:color w:val="FFFFFF"/>
                <w:sz w:val="19"/>
              </w:rPr>
              <w:t>Purpose</w:t>
            </w:r>
          </w:p>
        </w:tc>
      </w:tr>
      <w:tr>
        <w:tc>
          <w:tcPr>
            <w:tcW w:type="dxa" w:w="3168"/>
            <w:shd w:fill="F4F8FC"/>
            <w:tcMar>
              <w:top w:w="80" w:type="dxa"/>
              <w:bottom w:w="80" w:type="dxa"/>
              <w:left w:w="120" w:type="dxa"/>
              <w:right w:w="120" w:type="dxa"/>
            </w:tcMar>
          </w:tcPr>
          <w:p>
            <w:pPr>
              <w:jc w:val="left"/>
            </w:pPr>
            <w:r>
              <w:rPr>
                <w:color w:val="282828"/>
                <w:sz w:val="19"/>
              </w:rPr>
              <w:t>Dataset Overview</w:t>
            </w:r>
          </w:p>
        </w:tc>
        <w:tc>
          <w:tcPr>
            <w:tcW w:type="dxa" w:w="6192"/>
            <w:shd w:fill="F4F8FC"/>
            <w:tcMar>
              <w:top w:w="80" w:type="dxa"/>
              <w:bottom w:w="80" w:type="dxa"/>
              <w:left w:w="120" w:type="dxa"/>
              <w:right w:w="120" w:type="dxa"/>
            </w:tcMar>
          </w:tcPr>
          <w:p>
            <w:pPr>
              <w:jc w:val="left"/>
            </w:pPr>
            <w:r>
              <w:rPr>
                <w:color w:val="282828"/>
                <w:sz w:val="19"/>
              </w:rPr>
              <w:t>Preview, column types, numerical vs categorical split, target distribution, descriptive statistics</w:t>
            </w:r>
          </w:p>
        </w:tc>
      </w:tr>
      <w:tr>
        <w:tc>
          <w:tcPr>
            <w:tcW w:type="dxa" w:w="3168"/>
            <w:shd w:fill="FFFFFF"/>
            <w:tcMar>
              <w:top w:w="80" w:type="dxa"/>
              <w:bottom w:w="80" w:type="dxa"/>
              <w:left w:w="120" w:type="dxa"/>
              <w:right w:w="120" w:type="dxa"/>
            </w:tcMar>
          </w:tcPr>
          <w:p>
            <w:pPr>
              <w:jc w:val="left"/>
            </w:pPr>
            <w:r>
              <w:rPr>
                <w:color w:val="282828"/>
                <w:sz w:val="19"/>
              </w:rPr>
              <w:t>Exploratory Data Analysis</w:t>
            </w:r>
          </w:p>
        </w:tc>
        <w:tc>
          <w:tcPr>
            <w:tcW w:type="dxa" w:w="6192"/>
            <w:shd w:fill="FFFFFF"/>
            <w:tcMar>
              <w:top w:w="80" w:type="dxa"/>
              <w:bottom w:w="80" w:type="dxa"/>
              <w:left w:w="120" w:type="dxa"/>
              <w:right w:w="120" w:type="dxa"/>
            </w:tcMar>
          </w:tcPr>
          <w:p>
            <w:pPr>
              <w:jc w:val="left"/>
            </w:pPr>
            <w:r>
              <w:rPr>
                <w:color w:val="282828"/>
                <w:sz w:val="19"/>
              </w:rPr>
              <w:t>Target distribution, missing-value check, duplicates, feature distributions, boxplots, correlation heatmap, feature-vs-target analysis</w:t>
            </w:r>
          </w:p>
        </w:tc>
      </w:tr>
      <w:tr>
        <w:tc>
          <w:tcPr>
            <w:tcW w:type="dxa" w:w="3168"/>
            <w:shd w:fill="F4F8FC"/>
            <w:tcMar>
              <w:top w:w="80" w:type="dxa"/>
              <w:bottom w:w="80" w:type="dxa"/>
              <w:left w:w="120" w:type="dxa"/>
              <w:right w:w="120" w:type="dxa"/>
            </w:tcMar>
          </w:tcPr>
          <w:p>
            <w:pPr>
              <w:jc w:val="left"/>
            </w:pPr>
            <w:r>
              <w:rPr>
                <w:color w:val="282828"/>
                <w:sz w:val="19"/>
              </w:rPr>
              <w:t>Preprocessing Pipeline</w:t>
            </w:r>
          </w:p>
        </w:tc>
        <w:tc>
          <w:tcPr>
            <w:tcW w:type="dxa" w:w="6192"/>
            <w:shd w:fill="F4F8FC"/>
            <w:tcMar>
              <w:top w:w="80" w:type="dxa"/>
              <w:bottom w:w="80" w:type="dxa"/>
              <w:left w:w="120" w:type="dxa"/>
              <w:right w:w="120" w:type="dxa"/>
            </w:tcMar>
          </w:tcPr>
          <w:p>
            <w:pPr>
              <w:jc w:val="left"/>
            </w:pPr>
            <w:r>
              <w:rPr>
                <w:color w:val="282828"/>
                <w:sz w:val="19"/>
              </w:rPr>
              <w:t>Pipeline summary and final feature list used for training</w:t>
            </w:r>
          </w:p>
        </w:tc>
      </w:tr>
      <w:tr>
        <w:tc>
          <w:tcPr>
            <w:tcW w:type="dxa" w:w="3168"/>
            <w:shd w:fill="FFFFFF"/>
            <w:tcMar>
              <w:top w:w="80" w:type="dxa"/>
              <w:bottom w:w="80" w:type="dxa"/>
              <w:left w:w="120" w:type="dxa"/>
              <w:right w:w="120" w:type="dxa"/>
            </w:tcMar>
          </w:tcPr>
          <w:p>
            <w:pPr>
              <w:jc w:val="left"/>
            </w:pPr>
            <w:r>
              <w:rPr>
                <w:color w:val="282828"/>
                <w:sz w:val="19"/>
              </w:rPr>
              <w:t>Model Training</w:t>
            </w:r>
          </w:p>
        </w:tc>
        <w:tc>
          <w:tcPr>
            <w:tcW w:type="dxa" w:w="6192"/>
            <w:shd w:fill="FFFFFF"/>
            <w:tcMar>
              <w:top w:w="80" w:type="dxa"/>
              <w:bottom w:w="80" w:type="dxa"/>
              <w:left w:w="120" w:type="dxa"/>
              <w:right w:w="120" w:type="dxa"/>
            </w:tcMar>
          </w:tcPr>
          <w:p>
            <w:pPr>
              <w:jc w:val="left"/>
            </w:pPr>
            <w:r>
              <w:rPr>
                <w:color w:val="282828"/>
                <w:sz w:val="19"/>
              </w:rPr>
              <w:t>Live training status and any training errors for each model</w:t>
            </w:r>
          </w:p>
        </w:tc>
      </w:tr>
      <w:tr>
        <w:tc>
          <w:tcPr>
            <w:tcW w:type="dxa" w:w="3168"/>
            <w:shd w:fill="F4F8FC"/>
            <w:tcMar>
              <w:top w:w="80" w:type="dxa"/>
              <w:bottom w:w="80" w:type="dxa"/>
              <w:left w:w="120" w:type="dxa"/>
              <w:right w:w="120" w:type="dxa"/>
            </w:tcMar>
          </w:tcPr>
          <w:p>
            <w:pPr>
              <w:jc w:val="left"/>
            </w:pPr>
            <w:r>
              <w:rPr>
                <w:color w:val="282828"/>
                <w:sz w:val="19"/>
              </w:rPr>
              <w:t>Model Comparison</w:t>
            </w:r>
          </w:p>
        </w:tc>
        <w:tc>
          <w:tcPr>
            <w:tcW w:type="dxa" w:w="6192"/>
            <w:shd w:fill="F4F8FC"/>
            <w:tcMar>
              <w:top w:w="80" w:type="dxa"/>
              <w:bottom w:w="80" w:type="dxa"/>
              <w:left w:w="120" w:type="dxa"/>
              <w:right w:w="120" w:type="dxa"/>
            </w:tcMar>
          </w:tcPr>
          <w:p>
            <w:pPr>
              <w:jc w:val="left"/>
            </w:pPr>
            <w:r>
              <w:rPr>
                <w:color w:val="282828"/>
                <w:sz w:val="19"/>
              </w:rPr>
              <w:t>Sorted comparison table and per-metric / combined comparison charts</w:t>
            </w:r>
          </w:p>
        </w:tc>
      </w:tr>
      <w:tr>
        <w:tc>
          <w:tcPr>
            <w:tcW w:type="dxa" w:w="3168"/>
            <w:shd w:fill="FFFFFF"/>
            <w:tcMar>
              <w:top w:w="80" w:type="dxa"/>
              <w:bottom w:w="80" w:type="dxa"/>
              <w:left w:w="120" w:type="dxa"/>
              <w:right w:w="120" w:type="dxa"/>
            </w:tcMar>
          </w:tcPr>
          <w:p>
            <w:pPr>
              <w:jc w:val="left"/>
            </w:pPr>
            <w:r>
              <w:rPr>
                <w:color w:val="282828"/>
                <w:sz w:val="19"/>
              </w:rPr>
              <w:t>Best Model</w:t>
            </w:r>
          </w:p>
        </w:tc>
        <w:tc>
          <w:tcPr>
            <w:tcW w:type="dxa" w:w="6192"/>
            <w:shd w:fill="FFFFFF"/>
            <w:tcMar>
              <w:top w:w="80" w:type="dxa"/>
              <w:bottom w:w="80" w:type="dxa"/>
              <w:left w:w="120" w:type="dxa"/>
              <w:right w:w="120" w:type="dxa"/>
            </w:tcMar>
          </w:tcPr>
          <w:p>
            <w:pPr>
              <w:jc w:val="left"/>
            </w:pPr>
            <w:r>
              <w:rPr>
                <w:color w:val="282828"/>
                <w:sz w:val="19"/>
              </w:rPr>
              <w:t>Confusion matrix, ROC curve, precision-recall curve, feature importance, classification report, model download</w:t>
            </w:r>
          </w:p>
        </w:tc>
      </w:tr>
      <w:tr>
        <w:tc>
          <w:tcPr>
            <w:tcW w:type="dxa" w:w="3168"/>
            <w:shd w:fill="F4F8FC"/>
            <w:tcMar>
              <w:top w:w="80" w:type="dxa"/>
              <w:bottom w:w="80" w:type="dxa"/>
              <w:left w:w="120" w:type="dxa"/>
              <w:right w:w="120" w:type="dxa"/>
            </w:tcMar>
          </w:tcPr>
          <w:p>
            <w:pPr>
              <w:jc w:val="left"/>
            </w:pPr>
            <w:r>
              <w:rPr>
                <w:color w:val="282828"/>
                <w:sz w:val="19"/>
              </w:rPr>
              <w:t>Predict Website</w:t>
            </w:r>
          </w:p>
        </w:tc>
        <w:tc>
          <w:tcPr>
            <w:tcW w:type="dxa" w:w="6192"/>
            <w:shd w:fill="F4F8FC"/>
            <w:tcMar>
              <w:top w:w="80" w:type="dxa"/>
              <w:bottom w:w="80" w:type="dxa"/>
              <w:left w:w="120" w:type="dxa"/>
              <w:right w:w="120" w:type="dxa"/>
            </w:tcMar>
          </w:tcPr>
          <w:p>
            <w:pPr>
              <w:jc w:val="left"/>
            </w:pPr>
            <w:r>
              <w:rPr>
                <w:color w:val="282828"/>
                <w:sz w:val="19"/>
              </w:rPr>
              <w:t>Interactive form to enter feature values and get a live phishing prediction</w:t>
            </w:r>
          </w:p>
        </w:tc>
      </w:tr>
    </w:tbl>
    <w:p>
      <w:pPr>
        <w:keepNext/>
        <w:spacing w:before="160" w:after="60"/>
        <w:jc w:val="center"/>
      </w:pPr>
      <w:r>
        <w:drawing>
          <wp:inline xmlns:a="http://schemas.openxmlformats.org/drawingml/2006/main" xmlns:pic="http://schemas.openxmlformats.org/drawingml/2006/picture">
            <wp:extent cx="5303520" cy="3535680"/>
            <wp:docPr id="6" name="Picture 6"/>
            <wp:cNvGraphicFramePr>
              <a:graphicFrameLocks noChangeAspect="1"/>
            </wp:cNvGraphicFramePr>
            <a:graphic>
              <a:graphicData uri="http://schemas.openxmlformats.org/drawingml/2006/picture">
                <pic:pic>
                  <pic:nvPicPr>
                    <pic:cNvPr id="0" name="fig_10_1_dashboard_overview.png"/>
                    <pic:cNvPicPr/>
                  </pic:nvPicPr>
                  <pic:blipFill>
                    <a:blip r:embed="rId14"/>
                    <a:stretch>
                      <a:fillRect/>
                    </a:stretch>
                  </pic:blipFill>
                  <pic:spPr>
                    <a:xfrm>
                      <a:off x="0" y="0"/>
                      <a:ext cx="5303520" cy="3535680"/>
                    </a:xfrm>
                    <a:prstGeom prst="rect"/>
                  </pic:spPr>
                </pic:pic>
              </a:graphicData>
            </a:graphic>
          </wp:inline>
        </w:drawing>
      </w:r>
    </w:p>
    <w:p>
      <w:pPr>
        <w:spacing w:before="0" w:after="160"/>
        <w:jc w:val="center"/>
      </w:pPr>
      <w:r>
        <w:rPr>
          <w:b/>
          <w:i/>
          <w:color w:val="3C3C3C"/>
          <w:sz w:val="19"/>
        </w:rPr>
        <w:t>Figure 10.1 — Phishing Website Detection dashboard overview</w:t>
      </w:r>
    </w:p>
    <w:p>
      <w:pPr>
        <w:keepNext/>
        <w:spacing w:before="160" w:after="60"/>
        <w:jc w:val="center"/>
      </w:pPr>
      <w:r>
        <w:drawing>
          <wp:inline xmlns:a="http://schemas.openxmlformats.org/drawingml/2006/main" xmlns:pic="http://schemas.openxmlformats.org/drawingml/2006/picture">
            <wp:extent cx="5303520" cy="3535680"/>
            <wp:docPr id="7" name="Picture 7"/>
            <wp:cNvGraphicFramePr>
              <a:graphicFrameLocks noChangeAspect="1"/>
            </wp:cNvGraphicFramePr>
            <a:graphic>
              <a:graphicData uri="http://schemas.openxmlformats.org/drawingml/2006/picture">
                <pic:pic>
                  <pic:nvPicPr>
                    <pic:cNvPr id="0" name="fig_10_2_predict_tab.png"/>
                    <pic:cNvPicPr/>
                  </pic:nvPicPr>
                  <pic:blipFill>
                    <a:blip r:embed="rId15"/>
                    <a:stretch>
                      <a:fillRect/>
                    </a:stretch>
                  </pic:blipFill>
                  <pic:spPr>
                    <a:xfrm>
                      <a:off x="0" y="0"/>
                      <a:ext cx="5303520" cy="3535680"/>
                    </a:xfrm>
                    <a:prstGeom prst="rect"/>
                  </pic:spPr>
                </pic:pic>
              </a:graphicData>
            </a:graphic>
          </wp:inline>
        </w:drawing>
      </w:r>
    </w:p>
    <w:p>
      <w:pPr>
        <w:spacing w:before="0" w:after="160"/>
        <w:jc w:val="center"/>
      </w:pPr>
      <w:r>
        <w:rPr>
          <w:b/>
          <w:i/>
          <w:color w:val="3C3C3C"/>
          <w:sz w:val="19"/>
        </w:rPr>
        <w:t>Figure 10.2 — Real-time prediction interface with confidence score</w:t>
      </w:r>
    </w:p>
    <w:p>
      <w:pPr>
        <w:keepNext/>
        <w:spacing w:before="280" w:after="80"/>
      </w:pPr>
      <w:r>
        <w:rPr>
          <w:rFonts w:ascii="Calibri" w:hAnsi="Calibri"/>
          <w:b/>
          <w:color w:val="1F4E79"/>
          <w:sz w:val="28"/>
        </w:rPr>
        <w:t>11. Outcomes / Results</w:t>
      </w:r>
    </w:p>
    <w:p>
      <w:pPr>
        <w:spacing w:after="80" w:line="276" w:lineRule="auto"/>
      </w:pPr>
      <w:r>
        <w:rPr>
          <w:sz w:val="21"/>
        </w:rPr>
        <w:t>The tuned Random Forest model was evaluated on the 5,000-row held-out test set with the following final results:</w:t>
      </w:r>
    </w:p>
    <w:tbl>
      <w:tblPr>
        <w:tblW w:type="auto" w:w="0"/>
        <w:jc w:val="center"/>
        <w:tblLayout w:type="fixed"/>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4680"/>
        <w:gridCol w:w="4680"/>
      </w:tblGrid>
      <w:tr>
        <w:trPr>
          <w:tblHeader/>
        </w:trPr>
        <w:tc>
          <w:tcPr>
            <w:tcW w:type="dxa" w:w="4608"/>
            <w:shd w:fill="1F4E79"/>
            <w:tcMar>
              <w:top w:w="100" w:type="dxa"/>
              <w:bottom w:w="100" w:type="dxa"/>
              <w:left w:w="120" w:type="dxa"/>
              <w:right w:w="120" w:type="dxa"/>
            </w:tcMar>
          </w:tcPr>
          <w:p>
            <w:pPr>
              <w:jc w:val="left"/>
            </w:pPr>
            <w:r>
              <w:rPr>
                <w:b/>
                <w:color w:val="FFFFFF"/>
                <w:sz w:val="19"/>
              </w:rPr>
              <w:t>Metric</w:t>
            </w:r>
          </w:p>
        </w:tc>
        <w:tc>
          <w:tcPr>
            <w:tcW w:type="dxa" w:w="4752"/>
            <w:shd w:fill="1F4E79"/>
            <w:tcMar>
              <w:top w:w="100" w:type="dxa"/>
              <w:bottom w:w="100" w:type="dxa"/>
              <w:left w:w="120" w:type="dxa"/>
              <w:right w:w="120" w:type="dxa"/>
            </w:tcMar>
          </w:tcPr>
          <w:p>
            <w:pPr>
              <w:jc w:val="right"/>
            </w:pPr>
            <w:r>
              <w:rPr>
                <w:b/>
                <w:color w:val="FFFFFF"/>
                <w:sz w:val="19"/>
              </w:rPr>
              <w:t>Score</w:t>
            </w:r>
          </w:p>
        </w:tc>
      </w:tr>
      <w:tr>
        <w:tc>
          <w:tcPr>
            <w:tcW w:type="dxa" w:w="4608"/>
            <w:shd w:fill="F4F8FC"/>
            <w:tcMar>
              <w:top w:w="80" w:type="dxa"/>
              <w:bottom w:w="80" w:type="dxa"/>
              <w:left w:w="120" w:type="dxa"/>
              <w:right w:w="120" w:type="dxa"/>
            </w:tcMar>
          </w:tcPr>
          <w:p>
            <w:pPr>
              <w:jc w:val="left"/>
            </w:pPr>
            <w:r>
              <w:rPr>
                <w:color w:val="282828"/>
                <w:sz w:val="19"/>
              </w:rPr>
              <w:t>Accuracy</w:t>
            </w:r>
          </w:p>
        </w:tc>
        <w:tc>
          <w:tcPr>
            <w:tcW w:type="dxa" w:w="4752"/>
            <w:shd w:fill="F4F8FC"/>
            <w:tcMar>
              <w:top w:w="80" w:type="dxa"/>
              <w:bottom w:w="80" w:type="dxa"/>
              <w:left w:w="120" w:type="dxa"/>
              <w:right w:w="120" w:type="dxa"/>
            </w:tcMar>
          </w:tcPr>
          <w:p>
            <w:pPr>
              <w:jc w:val="right"/>
            </w:pPr>
            <w:r>
              <w:rPr>
                <w:color w:val="282828"/>
                <w:sz w:val="19"/>
              </w:rPr>
              <w:t>97.16%</w:t>
            </w:r>
          </w:p>
        </w:tc>
      </w:tr>
      <w:tr>
        <w:tc>
          <w:tcPr>
            <w:tcW w:type="dxa" w:w="4608"/>
            <w:shd w:fill="FFFFFF"/>
            <w:tcMar>
              <w:top w:w="80" w:type="dxa"/>
              <w:bottom w:w="80" w:type="dxa"/>
              <w:left w:w="120" w:type="dxa"/>
              <w:right w:w="120" w:type="dxa"/>
            </w:tcMar>
          </w:tcPr>
          <w:p>
            <w:pPr>
              <w:jc w:val="left"/>
            </w:pPr>
            <w:r>
              <w:rPr>
                <w:color w:val="282828"/>
                <w:sz w:val="19"/>
              </w:rPr>
              <w:t>Precision</w:t>
            </w:r>
          </w:p>
        </w:tc>
        <w:tc>
          <w:tcPr>
            <w:tcW w:type="dxa" w:w="4752"/>
            <w:shd w:fill="FFFFFF"/>
            <w:tcMar>
              <w:top w:w="80" w:type="dxa"/>
              <w:bottom w:w="80" w:type="dxa"/>
              <w:left w:w="120" w:type="dxa"/>
              <w:right w:w="120" w:type="dxa"/>
            </w:tcMar>
          </w:tcPr>
          <w:p>
            <w:pPr>
              <w:jc w:val="right"/>
            </w:pPr>
            <w:r>
              <w:rPr>
                <w:color w:val="282828"/>
                <w:sz w:val="19"/>
              </w:rPr>
              <w:t>97.03%</w:t>
            </w:r>
          </w:p>
        </w:tc>
      </w:tr>
      <w:tr>
        <w:tc>
          <w:tcPr>
            <w:tcW w:type="dxa" w:w="4608"/>
            <w:shd w:fill="F4F8FC"/>
            <w:tcMar>
              <w:top w:w="80" w:type="dxa"/>
              <w:bottom w:w="80" w:type="dxa"/>
              <w:left w:w="120" w:type="dxa"/>
              <w:right w:w="120" w:type="dxa"/>
            </w:tcMar>
          </w:tcPr>
          <w:p>
            <w:pPr>
              <w:jc w:val="left"/>
            </w:pPr>
            <w:r>
              <w:rPr>
                <w:color w:val="282828"/>
                <w:sz w:val="19"/>
              </w:rPr>
              <w:t>Recall</w:t>
            </w:r>
          </w:p>
        </w:tc>
        <w:tc>
          <w:tcPr>
            <w:tcW w:type="dxa" w:w="4752"/>
            <w:shd w:fill="F4F8FC"/>
            <w:tcMar>
              <w:top w:w="80" w:type="dxa"/>
              <w:bottom w:w="80" w:type="dxa"/>
              <w:left w:w="120" w:type="dxa"/>
              <w:right w:w="120" w:type="dxa"/>
            </w:tcMar>
          </w:tcPr>
          <w:p>
            <w:pPr>
              <w:jc w:val="right"/>
            </w:pPr>
            <w:r>
              <w:rPr>
                <w:color w:val="282828"/>
                <w:sz w:val="19"/>
              </w:rPr>
              <w:t>95.98%</w:t>
            </w:r>
          </w:p>
        </w:tc>
      </w:tr>
      <w:tr>
        <w:tc>
          <w:tcPr>
            <w:tcW w:type="dxa" w:w="4608"/>
            <w:shd w:fill="FFFFFF"/>
            <w:tcMar>
              <w:top w:w="80" w:type="dxa"/>
              <w:bottom w:w="80" w:type="dxa"/>
              <w:left w:w="120" w:type="dxa"/>
              <w:right w:w="120" w:type="dxa"/>
            </w:tcMar>
          </w:tcPr>
          <w:p>
            <w:pPr>
              <w:jc w:val="left"/>
            </w:pPr>
            <w:r>
              <w:rPr>
                <w:color w:val="282828"/>
                <w:sz w:val="19"/>
              </w:rPr>
              <w:t>F1-Score</w:t>
            </w:r>
          </w:p>
        </w:tc>
        <w:tc>
          <w:tcPr>
            <w:tcW w:type="dxa" w:w="4752"/>
            <w:shd w:fill="FFFFFF"/>
            <w:tcMar>
              <w:top w:w="80" w:type="dxa"/>
              <w:bottom w:w="80" w:type="dxa"/>
              <w:left w:w="120" w:type="dxa"/>
              <w:right w:w="120" w:type="dxa"/>
            </w:tcMar>
          </w:tcPr>
          <w:p>
            <w:pPr>
              <w:jc w:val="right"/>
            </w:pPr>
            <w:r>
              <w:rPr>
                <w:color w:val="282828"/>
                <w:sz w:val="19"/>
              </w:rPr>
              <w:t>96.50%</w:t>
            </w:r>
          </w:p>
        </w:tc>
      </w:tr>
    </w:tbl>
    <w:p>
      <w:pPr>
        <w:keepNext/>
        <w:spacing w:before="160" w:after="60"/>
        <w:jc w:val="center"/>
      </w:pPr>
      <w:r>
        <w:drawing>
          <wp:inline xmlns:a="http://schemas.openxmlformats.org/drawingml/2006/main" xmlns:pic="http://schemas.openxmlformats.org/drawingml/2006/picture">
            <wp:extent cx="4114800" cy="3165231"/>
            <wp:docPr id="8" name="Picture 8"/>
            <wp:cNvGraphicFramePr>
              <a:graphicFrameLocks noChangeAspect="1"/>
            </wp:cNvGraphicFramePr>
            <a:graphic>
              <a:graphicData uri="http://schemas.openxmlformats.org/drawingml/2006/picture">
                <pic:pic>
                  <pic:nvPicPr>
                    <pic:cNvPr id="0" name="fig_11_1_confusion_matrix.png"/>
                    <pic:cNvPicPr/>
                  </pic:nvPicPr>
                  <pic:blipFill>
                    <a:blip r:embed="rId16"/>
                    <a:stretch>
                      <a:fillRect/>
                    </a:stretch>
                  </pic:blipFill>
                  <pic:spPr>
                    <a:xfrm>
                      <a:off x="0" y="0"/>
                      <a:ext cx="4114800" cy="3165231"/>
                    </a:xfrm>
                    <a:prstGeom prst="rect"/>
                  </pic:spPr>
                </pic:pic>
              </a:graphicData>
            </a:graphic>
          </wp:inline>
        </w:drawing>
      </w:r>
    </w:p>
    <w:p>
      <w:pPr>
        <w:spacing w:before="0" w:after="160"/>
        <w:jc w:val="center"/>
      </w:pPr>
      <w:r>
        <w:rPr>
          <w:b/>
          <w:i/>
          <w:color w:val="3C3C3C"/>
          <w:sz w:val="19"/>
        </w:rPr>
        <w:t>Figure 11.1 — Confusion matrix on test data</w:t>
      </w:r>
    </w:p>
    <w:p>
      <w:pPr>
        <w:keepNext/>
        <w:spacing w:before="160" w:after="60"/>
        <w:jc w:val="center"/>
      </w:pPr>
      <w:r>
        <w:drawing>
          <wp:inline xmlns:a="http://schemas.openxmlformats.org/drawingml/2006/main" xmlns:pic="http://schemas.openxmlformats.org/drawingml/2006/picture">
            <wp:extent cx="5303520" cy="2039815"/>
            <wp:docPr id="9" name="Picture 9"/>
            <wp:cNvGraphicFramePr>
              <a:graphicFrameLocks noChangeAspect="1"/>
            </wp:cNvGraphicFramePr>
            <a:graphic>
              <a:graphicData uri="http://schemas.openxmlformats.org/drawingml/2006/picture">
                <pic:pic>
                  <pic:nvPicPr>
                    <pic:cNvPr id="0" name="fig_11_2_roc_pr_curves.png"/>
                    <pic:cNvPicPr/>
                  </pic:nvPicPr>
                  <pic:blipFill>
                    <a:blip r:embed="rId17"/>
                    <a:stretch>
                      <a:fillRect/>
                    </a:stretch>
                  </pic:blipFill>
                  <pic:spPr>
                    <a:xfrm>
                      <a:off x="0" y="0"/>
                      <a:ext cx="5303520" cy="2039815"/>
                    </a:xfrm>
                    <a:prstGeom prst="rect"/>
                  </pic:spPr>
                </pic:pic>
              </a:graphicData>
            </a:graphic>
          </wp:inline>
        </w:drawing>
      </w:r>
    </w:p>
    <w:p>
      <w:pPr>
        <w:spacing w:before="0" w:after="160"/>
        <w:jc w:val="center"/>
      </w:pPr>
      <w:r>
        <w:rPr>
          <w:b/>
          <w:i/>
          <w:color w:val="3C3C3C"/>
          <w:sz w:val="19"/>
        </w:rPr>
        <w:t>Figure 11.2 — ROC curve and Precision-Recall curve</w:t>
      </w:r>
    </w:p>
    <w:p>
      <w:pPr>
        <w:keepNext/>
        <w:spacing w:before="160" w:after="60"/>
        <w:jc w:val="center"/>
      </w:pPr>
      <w:r>
        <w:drawing>
          <wp:inline xmlns:a="http://schemas.openxmlformats.org/drawingml/2006/main" xmlns:pic="http://schemas.openxmlformats.org/drawingml/2006/picture">
            <wp:extent cx="5029200" cy="3771900"/>
            <wp:docPr id="10" name="Picture 10"/>
            <wp:cNvGraphicFramePr>
              <a:graphicFrameLocks noChangeAspect="1"/>
            </wp:cNvGraphicFramePr>
            <a:graphic>
              <a:graphicData uri="http://schemas.openxmlformats.org/drawingml/2006/picture">
                <pic:pic>
                  <pic:nvPicPr>
                    <pic:cNvPr id="0" name="fig_11_3_feature_importance.png"/>
                    <pic:cNvPicPr/>
                  </pic:nvPicPr>
                  <pic:blipFill>
                    <a:blip r:embed="rId18"/>
                    <a:stretch>
                      <a:fillRect/>
                    </a:stretch>
                  </pic:blipFill>
                  <pic:spPr>
                    <a:xfrm>
                      <a:off x="0" y="0"/>
                      <a:ext cx="5029200" cy="3771900"/>
                    </a:xfrm>
                    <a:prstGeom prst="rect"/>
                  </pic:spPr>
                </pic:pic>
              </a:graphicData>
            </a:graphic>
          </wp:inline>
        </w:drawing>
      </w:r>
    </w:p>
    <w:p>
      <w:pPr>
        <w:spacing w:before="0" w:after="160"/>
        <w:jc w:val="center"/>
      </w:pPr>
      <w:r>
        <w:rPr>
          <w:b/>
          <w:i/>
          <w:color w:val="3C3C3C"/>
          <w:sz w:val="19"/>
        </w:rPr>
        <w:t>Figure 11.3 — Top features driving phishing predictions</w:t>
      </w:r>
    </w:p>
    <w:p>
      <w:pPr>
        <w:spacing w:after="80" w:line="276" w:lineRule="auto"/>
      </w:pPr>
      <w:r>
        <w:rPr>
          <w:sz w:val="21"/>
        </w:rPr>
        <w:t>The classification report confirms balanced performance across both classes (Legitimate: precision 0.97, recall 0.98; Phishing: precision 0.97, recall 0.96), showing the model does not favour one class at the expense of the other.</w:t>
      </w:r>
    </w:p>
    <w:p>
      <w:pPr>
        <w:keepNext/>
        <w:spacing w:before="200" w:after="60"/>
      </w:pPr>
      <w:r>
        <w:rPr>
          <w:rFonts w:ascii="Calibri" w:hAnsi="Calibri"/>
          <w:b/>
          <w:color w:val="2E75B6"/>
          <w:sz w:val="24"/>
        </w:rPr>
        <w:t>11.1 Detailed Classification Report</w:t>
      </w:r>
    </w:p>
    <w:tbl>
      <w:tblPr>
        <w:tblW w:type="auto" w:w="0"/>
        <w:jc w:val="center"/>
        <w:tblLayout w:type="fixed"/>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1872"/>
        <w:gridCol w:w="1872"/>
        <w:gridCol w:w="1872"/>
        <w:gridCol w:w="1872"/>
        <w:gridCol w:w="1872"/>
      </w:tblGrid>
      <w:tr>
        <w:trPr>
          <w:tblHeader/>
        </w:trPr>
        <w:tc>
          <w:tcPr>
            <w:tcW w:type="dxa" w:w="3024"/>
            <w:shd w:fill="1F4E79"/>
            <w:tcMar>
              <w:top w:w="100" w:type="dxa"/>
              <w:bottom w:w="100" w:type="dxa"/>
              <w:left w:w="120" w:type="dxa"/>
              <w:right w:w="120" w:type="dxa"/>
            </w:tcMar>
          </w:tcPr>
          <w:p>
            <w:pPr>
              <w:jc w:val="left"/>
            </w:pPr>
            <w:r>
              <w:rPr>
                <w:b/>
                <w:color w:val="FFFFFF"/>
                <w:sz w:val="19"/>
              </w:rPr>
              <w:t>Class</w:t>
            </w:r>
          </w:p>
        </w:tc>
        <w:tc>
          <w:tcPr>
            <w:tcW w:type="dxa" w:w="1584"/>
            <w:shd w:fill="1F4E79"/>
            <w:tcMar>
              <w:top w:w="100" w:type="dxa"/>
              <w:bottom w:w="100" w:type="dxa"/>
              <w:left w:w="120" w:type="dxa"/>
              <w:right w:w="120" w:type="dxa"/>
            </w:tcMar>
          </w:tcPr>
          <w:p>
            <w:pPr>
              <w:jc w:val="right"/>
            </w:pPr>
            <w:r>
              <w:rPr>
                <w:b/>
                <w:color w:val="FFFFFF"/>
                <w:sz w:val="19"/>
              </w:rPr>
              <w:t>Precision</w:t>
            </w:r>
          </w:p>
        </w:tc>
        <w:tc>
          <w:tcPr>
            <w:tcW w:type="dxa" w:w="1584"/>
            <w:shd w:fill="1F4E79"/>
            <w:tcMar>
              <w:top w:w="100" w:type="dxa"/>
              <w:bottom w:w="100" w:type="dxa"/>
              <w:left w:w="120" w:type="dxa"/>
              <w:right w:w="120" w:type="dxa"/>
            </w:tcMar>
          </w:tcPr>
          <w:p>
            <w:pPr>
              <w:jc w:val="right"/>
            </w:pPr>
            <w:r>
              <w:rPr>
                <w:b/>
                <w:color w:val="FFFFFF"/>
                <w:sz w:val="19"/>
              </w:rPr>
              <w:t>Recall</w:t>
            </w:r>
          </w:p>
        </w:tc>
        <w:tc>
          <w:tcPr>
            <w:tcW w:type="dxa" w:w="1584"/>
            <w:shd w:fill="1F4E79"/>
            <w:tcMar>
              <w:top w:w="100" w:type="dxa"/>
              <w:bottom w:w="100" w:type="dxa"/>
              <w:left w:w="120" w:type="dxa"/>
              <w:right w:w="120" w:type="dxa"/>
            </w:tcMar>
          </w:tcPr>
          <w:p>
            <w:pPr>
              <w:jc w:val="right"/>
            </w:pPr>
            <w:r>
              <w:rPr>
                <w:b/>
                <w:color w:val="FFFFFF"/>
                <w:sz w:val="19"/>
              </w:rPr>
              <w:t>F1-Score</w:t>
            </w:r>
          </w:p>
        </w:tc>
        <w:tc>
          <w:tcPr>
            <w:tcW w:type="dxa" w:w="1584"/>
            <w:shd w:fill="1F4E79"/>
            <w:tcMar>
              <w:top w:w="100" w:type="dxa"/>
              <w:bottom w:w="100" w:type="dxa"/>
              <w:left w:w="120" w:type="dxa"/>
              <w:right w:w="120" w:type="dxa"/>
            </w:tcMar>
          </w:tcPr>
          <w:p>
            <w:pPr>
              <w:jc w:val="right"/>
            </w:pPr>
            <w:r>
              <w:rPr>
                <w:b/>
                <w:color w:val="FFFFFF"/>
                <w:sz w:val="19"/>
              </w:rPr>
              <w:t>Support</w:t>
            </w:r>
          </w:p>
        </w:tc>
      </w:tr>
      <w:tr>
        <w:tc>
          <w:tcPr>
            <w:tcW w:type="dxa" w:w="3024"/>
            <w:shd w:fill="F4F8FC"/>
            <w:tcMar>
              <w:top w:w="80" w:type="dxa"/>
              <w:bottom w:w="80" w:type="dxa"/>
              <w:left w:w="120" w:type="dxa"/>
              <w:right w:w="120" w:type="dxa"/>
            </w:tcMar>
          </w:tcPr>
          <w:p>
            <w:pPr>
              <w:jc w:val="left"/>
            </w:pPr>
            <w:r>
              <w:rPr>
                <w:color w:val="282828"/>
                <w:sz w:val="19"/>
              </w:rPr>
              <w:t>Legitimate (0)</w:t>
            </w:r>
          </w:p>
        </w:tc>
        <w:tc>
          <w:tcPr>
            <w:tcW w:type="dxa" w:w="1584"/>
            <w:shd w:fill="F4F8FC"/>
            <w:tcMar>
              <w:top w:w="80" w:type="dxa"/>
              <w:bottom w:w="80" w:type="dxa"/>
              <w:left w:w="120" w:type="dxa"/>
              <w:right w:w="120" w:type="dxa"/>
            </w:tcMar>
          </w:tcPr>
          <w:p>
            <w:pPr>
              <w:jc w:val="right"/>
            </w:pPr>
            <w:r>
              <w:rPr>
                <w:color w:val="282828"/>
                <w:sz w:val="19"/>
              </w:rPr>
              <w:t>0.97</w:t>
            </w:r>
          </w:p>
        </w:tc>
        <w:tc>
          <w:tcPr>
            <w:tcW w:type="dxa" w:w="1584"/>
            <w:shd w:fill="F4F8FC"/>
            <w:tcMar>
              <w:top w:w="80" w:type="dxa"/>
              <w:bottom w:w="80" w:type="dxa"/>
              <w:left w:w="120" w:type="dxa"/>
              <w:right w:w="120" w:type="dxa"/>
            </w:tcMar>
          </w:tcPr>
          <w:p>
            <w:pPr>
              <w:jc w:val="right"/>
            </w:pPr>
            <w:r>
              <w:rPr>
                <w:color w:val="282828"/>
                <w:sz w:val="19"/>
              </w:rPr>
              <w:t>0.98</w:t>
            </w:r>
          </w:p>
        </w:tc>
        <w:tc>
          <w:tcPr>
            <w:tcW w:type="dxa" w:w="1584"/>
            <w:shd w:fill="F4F8FC"/>
            <w:tcMar>
              <w:top w:w="80" w:type="dxa"/>
              <w:bottom w:w="80" w:type="dxa"/>
              <w:left w:w="120" w:type="dxa"/>
              <w:right w:w="120" w:type="dxa"/>
            </w:tcMar>
          </w:tcPr>
          <w:p>
            <w:pPr>
              <w:jc w:val="right"/>
            </w:pPr>
            <w:r>
              <w:rPr>
                <w:color w:val="282828"/>
                <w:sz w:val="19"/>
              </w:rPr>
              <w:t>0.98</w:t>
            </w:r>
          </w:p>
        </w:tc>
        <w:tc>
          <w:tcPr>
            <w:tcW w:type="dxa" w:w="1584"/>
            <w:shd w:fill="F4F8FC"/>
            <w:tcMar>
              <w:top w:w="80" w:type="dxa"/>
              <w:bottom w:w="80" w:type="dxa"/>
              <w:left w:w="120" w:type="dxa"/>
              <w:right w:w="120" w:type="dxa"/>
            </w:tcMar>
          </w:tcPr>
          <w:p>
            <w:pPr>
              <w:jc w:val="right"/>
            </w:pPr>
            <w:r>
              <w:rPr>
                <w:color w:val="282828"/>
                <w:sz w:val="19"/>
              </w:rPr>
              <w:t>2,961</w:t>
            </w:r>
          </w:p>
        </w:tc>
      </w:tr>
      <w:tr>
        <w:tc>
          <w:tcPr>
            <w:tcW w:type="dxa" w:w="3024"/>
            <w:shd w:fill="FFFFFF"/>
            <w:tcMar>
              <w:top w:w="80" w:type="dxa"/>
              <w:bottom w:w="80" w:type="dxa"/>
              <w:left w:w="120" w:type="dxa"/>
              <w:right w:w="120" w:type="dxa"/>
            </w:tcMar>
          </w:tcPr>
          <w:p>
            <w:pPr>
              <w:jc w:val="left"/>
            </w:pPr>
            <w:r>
              <w:rPr>
                <w:color w:val="282828"/>
                <w:sz w:val="19"/>
              </w:rPr>
              <w:t>Phishing (1)</w:t>
            </w:r>
          </w:p>
        </w:tc>
        <w:tc>
          <w:tcPr>
            <w:tcW w:type="dxa" w:w="1584"/>
            <w:shd w:fill="FFFFFF"/>
            <w:tcMar>
              <w:top w:w="80" w:type="dxa"/>
              <w:bottom w:w="80" w:type="dxa"/>
              <w:left w:w="120" w:type="dxa"/>
              <w:right w:w="120" w:type="dxa"/>
            </w:tcMar>
          </w:tcPr>
          <w:p>
            <w:pPr>
              <w:jc w:val="right"/>
            </w:pPr>
            <w:r>
              <w:rPr>
                <w:color w:val="282828"/>
                <w:sz w:val="19"/>
              </w:rPr>
              <w:t>0.97</w:t>
            </w:r>
          </w:p>
        </w:tc>
        <w:tc>
          <w:tcPr>
            <w:tcW w:type="dxa" w:w="1584"/>
            <w:shd w:fill="FFFFFF"/>
            <w:tcMar>
              <w:top w:w="80" w:type="dxa"/>
              <w:bottom w:w="80" w:type="dxa"/>
              <w:left w:w="120" w:type="dxa"/>
              <w:right w:w="120" w:type="dxa"/>
            </w:tcMar>
          </w:tcPr>
          <w:p>
            <w:pPr>
              <w:jc w:val="right"/>
            </w:pPr>
            <w:r>
              <w:rPr>
                <w:color w:val="282828"/>
                <w:sz w:val="19"/>
              </w:rPr>
              <w:t>0.96</w:t>
            </w:r>
          </w:p>
        </w:tc>
        <w:tc>
          <w:tcPr>
            <w:tcW w:type="dxa" w:w="1584"/>
            <w:shd w:fill="FFFFFF"/>
            <w:tcMar>
              <w:top w:w="80" w:type="dxa"/>
              <w:bottom w:w="80" w:type="dxa"/>
              <w:left w:w="120" w:type="dxa"/>
              <w:right w:w="120" w:type="dxa"/>
            </w:tcMar>
          </w:tcPr>
          <w:p>
            <w:pPr>
              <w:jc w:val="right"/>
            </w:pPr>
            <w:r>
              <w:rPr>
                <w:color w:val="282828"/>
                <w:sz w:val="19"/>
              </w:rPr>
              <w:t>0.96</w:t>
            </w:r>
          </w:p>
        </w:tc>
        <w:tc>
          <w:tcPr>
            <w:tcW w:type="dxa" w:w="1584"/>
            <w:shd w:fill="FFFFFF"/>
            <w:tcMar>
              <w:top w:w="80" w:type="dxa"/>
              <w:bottom w:w="80" w:type="dxa"/>
              <w:left w:w="120" w:type="dxa"/>
              <w:right w:w="120" w:type="dxa"/>
            </w:tcMar>
          </w:tcPr>
          <w:p>
            <w:pPr>
              <w:jc w:val="right"/>
            </w:pPr>
            <w:r>
              <w:rPr>
                <w:color w:val="282828"/>
                <w:sz w:val="19"/>
              </w:rPr>
              <w:t>2,039</w:t>
            </w:r>
          </w:p>
        </w:tc>
      </w:tr>
      <w:tr>
        <w:tc>
          <w:tcPr>
            <w:tcW w:type="dxa" w:w="3024"/>
            <w:shd w:fill="F4F8FC"/>
            <w:tcMar>
              <w:top w:w="80" w:type="dxa"/>
              <w:bottom w:w="80" w:type="dxa"/>
              <w:left w:w="120" w:type="dxa"/>
              <w:right w:w="120" w:type="dxa"/>
            </w:tcMar>
          </w:tcPr>
          <w:p>
            <w:pPr>
              <w:jc w:val="left"/>
            </w:pPr>
            <w:r>
              <w:rPr>
                <w:color w:val="282828"/>
                <w:sz w:val="19"/>
              </w:rPr>
              <w:t>Weighted Avg</w:t>
            </w:r>
          </w:p>
        </w:tc>
        <w:tc>
          <w:tcPr>
            <w:tcW w:type="dxa" w:w="1584"/>
            <w:shd w:fill="F4F8FC"/>
            <w:tcMar>
              <w:top w:w="80" w:type="dxa"/>
              <w:bottom w:w="80" w:type="dxa"/>
              <w:left w:w="120" w:type="dxa"/>
              <w:right w:w="120" w:type="dxa"/>
            </w:tcMar>
          </w:tcPr>
          <w:p>
            <w:pPr>
              <w:jc w:val="right"/>
            </w:pPr>
            <w:r>
              <w:rPr>
                <w:color w:val="282828"/>
                <w:sz w:val="19"/>
              </w:rPr>
              <w:t>0.97</w:t>
            </w:r>
          </w:p>
        </w:tc>
        <w:tc>
          <w:tcPr>
            <w:tcW w:type="dxa" w:w="1584"/>
            <w:shd w:fill="F4F8FC"/>
            <w:tcMar>
              <w:top w:w="80" w:type="dxa"/>
              <w:bottom w:w="80" w:type="dxa"/>
              <w:left w:w="120" w:type="dxa"/>
              <w:right w:w="120" w:type="dxa"/>
            </w:tcMar>
          </w:tcPr>
          <w:p>
            <w:pPr>
              <w:jc w:val="right"/>
            </w:pPr>
            <w:r>
              <w:rPr>
                <w:color w:val="282828"/>
                <w:sz w:val="19"/>
              </w:rPr>
              <w:t>0.97</w:t>
            </w:r>
          </w:p>
        </w:tc>
        <w:tc>
          <w:tcPr>
            <w:tcW w:type="dxa" w:w="1584"/>
            <w:shd w:fill="F4F8FC"/>
            <w:tcMar>
              <w:top w:w="80" w:type="dxa"/>
              <w:bottom w:w="80" w:type="dxa"/>
              <w:left w:w="120" w:type="dxa"/>
              <w:right w:w="120" w:type="dxa"/>
            </w:tcMar>
          </w:tcPr>
          <w:p>
            <w:pPr>
              <w:jc w:val="right"/>
            </w:pPr>
            <w:r>
              <w:rPr>
                <w:color w:val="282828"/>
                <w:sz w:val="19"/>
              </w:rPr>
              <w:t>0.97</w:t>
            </w:r>
          </w:p>
        </w:tc>
        <w:tc>
          <w:tcPr>
            <w:tcW w:type="dxa" w:w="1584"/>
            <w:shd w:fill="F4F8FC"/>
            <w:tcMar>
              <w:top w:w="80" w:type="dxa"/>
              <w:bottom w:w="80" w:type="dxa"/>
              <w:left w:w="120" w:type="dxa"/>
              <w:right w:w="120" w:type="dxa"/>
            </w:tcMar>
          </w:tcPr>
          <w:p>
            <w:pPr>
              <w:jc w:val="right"/>
            </w:pPr>
            <w:r>
              <w:rPr>
                <w:color w:val="282828"/>
                <w:sz w:val="19"/>
              </w:rPr>
              <w:t>5,000</w:t>
            </w:r>
          </w:p>
        </w:tc>
      </w:tr>
    </w:tbl>
    <w:p>
      <w:pPr>
        <w:spacing w:after="80" w:line="276" w:lineRule="auto"/>
      </w:pPr>
      <w:r>
        <w:rPr>
          <w:sz w:val="21"/>
        </w:rPr>
        <w:t>These results meet and exceed the project objective of an F1-score of at least 0.90, confirming the model is reliable enough for practical phishing-detection use cases.</w:t>
      </w:r>
    </w:p>
    <w:p>
      <w:pPr>
        <w:keepNext/>
        <w:spacing w:before="280" w:after="80"/>
      </w:pPr>
      <w:r>
        <w:rPr>
          <w:rFonts w:ascii="Calibri" w:hAnsi="Calibri"/>
          <w:b/>
          <w:color w:val="1F4E79"/>
          <w:sz w:val="28"/>
        </w:rPr>
        <w:t>12. Limitations</w:t>
      </w:r>
    </w:p>
    <w:p>
      <w:pPr>
        <w:spacing w:after="60" w:line="276" w:lineRule="auto"/>
        <w:ind w:left="360"/>
      </w:pPr>
      <w:r>
        <w:rPr>
          <w:color w:val="1F4E79"/>
          <w:sz w:val="16"/>
        </w:rPr>
        <w:t xml:space="preserve">●  </w:t>
      </w:r>
      <w:r>
        <w:rPr>
          <w:sz w:val="21"/>
        </w:rPr>
        <w:t>Trained on a static dataset; may not generalize perfectly to newly evolved phishing techniques.</w:t>
      </w:r>
    </w:p>
    <w:p>
      <w:pPr>
        <w:spacing w:after="60" w:line="276" w:lineRule="auto"/>
        <w:ind w:left="360"/>
      </w:pPr>
      <w:r>
        <w:rPr>
          <w:color w:val="1F4E79"/>
          <w:sz w:val="16"/>
        </w:rPr>
        <w:t xml:space="preserve">●  </w:t>
      </w:r>
      <w:r>
        <w:rPr>
          <w:sz w:val="21"/>
        </w:rPr>
        <w:t>Relies on pre-extracted numeric features rather than raw URLs/HTML, requiring a feature-extraction step before real-world use.</w:t>
      </w:r>
    </w:p>
    <w:p>
      <w:pPr>
        <w:spacing w:after="60" w:line="276" w:lineRule="auto"/>
        <w:ind w:left="360"/>
      </w:pPr>
      <w:r>
        <w:rPr>
          <w:color w:val="1F4E79"/>
          <w:sz w:val="16"/>
        </w:rPr>
        <w:t xml:space="preserve">●  </w:t>
      </w:r>
      <w:r>
        <w:rPr>
          <w:sz w:val="21"/>
        </w:rPr>
        <w:t>Domain-age and registration-length features depend on external WHOIS-type data that may be unavailable or delayed for very new domains.</w:t>
      </w:r>
    </w:p>
    <w:p>
      <w:pPr>
        <w:spacing w:after="60" w:line="276" w:lineRule="auto"/>
        <w:ind w:left="360"/>
      </w:pPr>
      <w:r>
        <w:rPr>
          <w:color w:val="1F4E79"/>
          <w:sz w:val="16"/>
        </w:rPr>
        <w:t xml:space="preserve">●  </w:t>
      </w:r>
      <w:r>
        <w:rPr>
          <w:sz w:val="21"/>
        </w:rPr>
        <w:t>No real-time retraining mechanism; model can go stale as phishing patterns change.</w:t>
      </w:r>
    </w:p>
    <w:p>
      <w:pPr>
        <w:spacing w:after="60" w:line="276" w:lineRule="auto"/>
        <w:ind w:left="360"/>
      </w:pPr>
      <w:r>
        <w:rPr>
          <w:color w:val="1F4E79"/>
          <w:sz w:val="16"/>
        </w:rPr>
        <w:t xml:space="preserve">●  </w:t>
      </w:r>
      <w:r>
        <w:rPr>
          <w:sz w:val="21"/>
        </w:rPr>
        <w:t>~4% of phishing sites are still misclassified as legitimate (false negatives), which carries real security risk.</w:t>
      </w:r>
    </w:p>
    <w:p>
      <w:pPr>
        <w:keepNext/>
        <w:spacing w:before="280" w:after="80"/>
      </w:pPr>
      <w:r>
        <w:rPr>
          <w:rFonts w:ascii="Calibri" w:hAnsi="Calibri"/>
          <w:b/>
          <w:color w:val="1F4E79"/>
          <w:sz w:val="28"/>
        </w:rPr>
        <w:t>13. Future Scope</w:t>
      </w:r>
    </w:p>
    <w:p>
      <w:pPr>
        <w:spacing w:after="60" w:line="276" w:lineRule="auto"/>
        <w:ind w:left="360"/>
      </w:pPr>
      <w:r>
        <w:rPr>
          <w:color w:val="1F4E79"/>
          <w:sz w:val="16"/>
        </w:rPr>
        <w:t xml:space="preserve">●  </w:t>
      </w:r>
      <w:r>
        <w:rPr>
          <w:sz w:val="21"/>
        </w:rPr>
        <w:t>Incorporate NLP-based analysis of raw URL strings and page content instead of only engineered features.</w:t>
      </w:r>
    </w:p>
    <w:p>
      <w:pPr>
        <w:spacing w:after="60" w:line="276" w:lineRule="auto"/>
        <w:ind w:left="360"/>
      </w:pPr>
      <w:r>
        <w:rPr>
          <w:color w:val="1F4E79"/>
          <w:sz w:val="16"/>
        </w:rPr>
        <w:t xml:space="preserve">●  </w:t>
      </w:r>
      <w:r>
        <w:rPr>
          <w:sz w:val="21"/>
        </w:rPr>
        <w:t>Add ensemble/boosting models (XGBoost, LightGBM) and compare against Random Forest.</w:t>
      </w:r>
    </w:p>
    <w:p>
      <w:pPr>
        <w:spacing w:after="60" w:line="276" w:lineRule="auto"/>
        <w:ind w:left="360"/>
      </w:pPr>
      <w:r>
        <w:rPr>
          <w:color w:val="1F4E79"/>
          <w:sz w:val="16"/>
        </w:rPr>
        <w:t xml:space="preserve">●  </w:t>
      </w:r>
      <w:r>
        <w:rPr>
          <w:sz w:val="21"/>
        </w:rPr>
        <w:t>Build a browser extension for real-time URL scanning using the trained model.</w:t>
      </w:r>
    </w:p>
    <w:p>
      <w:pPr>
        <w:spacing w:after="60" w:line="276" w:lineRule="auto"/>
        <w:ind w:left="360"/>
      </w:pPr>
      <w:r>
        <w:rPr>
          <w:color w:val="1F4E79"/>
          <w:sz w:val="16"/>
        </w:rPr>
        <w:t xml:space="preserve">●  </w:t>
      </w:r>
      <w:r>
        <w:rPr>
          <w:sz w:val="21"/>
        </w:rPr>
        <w:t>Set up periodic retraining with freshly labelled phishing data to reduce model drift.</w:t>
      </w:r>
    </w:p>
    <w:p>
      <w:pPr>
        <w:spacing w:after="60" w:line="276" w:lineRule="auto"/>
        <w:ind w:left="360"/>
      </w:pPr>
      <w:r>
        <w:rPr>
          <w:color w:val="1F4E79"/>
          <w:sz w:val="16"/>
        </w:rPr>
        <w:t xml:space="preserve">●  </w:t>
      </w:r>
      <w:r>
        <w:rPr>
          <w:sz w:val="21"/>
        </w:rPr>
        <w:t>Add explainability (SHAP/LIME) to the dashboard so predictions are transparent to end users.</w:t>
      </w:r>
    </w:p>
    <w:p>
      <w:pPr>
        <w:keepNext/>
        <w:spacing w:before="280" w:after="80"/>
      </w:pPr>
      <w:r>
        <w:rPr>
          <w:rFonts w:ascii="Calibri" w:hAnsi="Calibri"/>
          <w:b/>
          <w:color w:val="1F4E79"/>
          <w:sz w:val="28"/>
        </w:rPr>
        <w:t>14. Conclusion</w:t>
      </w:r>
    </w:p>
    <w:p>
      <w:pPr>
        <w:spacing w:after="80" w:line="276" w:lineRule="auto"/>
      </w:pPr>
      <w:r>
        <w:rPr>
          <w:sz w:val="21"/>
        </w:rPr>
        <w:t>This project successfully developed a machine learning pipeline that detects phishing websites with 97.16% accuracy and a 96.50% F1-score using a tuned Random Forest classifier. Rigorous data cleaning and exploratory analysis ensured a reliable modeling foundation, while comparing multiple algorithms and applying hyperparameter tuning maximized detection performance. The final model was successfully packaged into an interactive Streamlit dashboard, making it usable for real-time phishing prediction and demonstrating a practical, deployable cybersecurity ML solution.</w:t>
      </w:r>
    </w:p>
    <w:p>
      <w:pPr>
        <w:keepNext/>
        <w:spacing w:before="280" w:after="80"/>
      </w:pPr>
      <w:r>
        <w:rPr>
          <w:rFonts w:ascii="Calibri" w:hAnsi="Calibri"/>
          <w:b/>
          <w:color w:val="1F4E79"/>
          <w:sz w:val="28"/>
        </w:rPr>
        <w:t>15. References</w:t>
      </w:r>
    </w:p>
    <w:p>
      <w:pPr>
        <w:spacing w:after="60" w:line="276" w:lineRule="auto"/>
        <w:ind w:left="360"/>
      </w:pPr>
      <w:r>
        <w:rPr>
          <w:color w:val="1F4E79"/>
          <w:sz w:val="16"/>
        </w:rPr>
        <w:t xml:space="preserve">●  </w:t>
      </w:r>
      <w:r>
        <w:rPr>
          <w:sz w:val="21"/>
        </w:rPr>
        <w:t>Dataset: phishing_website_raw.csv.xlsx (project-provided dataset), cleaned as phishing_website_cleaned.xlsx.</w:t>
      </w:r>
    </w:p>
    <w:p>
      <w:pPr>
        <w:spacing w:after="60" w:line="276" w:lineRule="auto"/>
        <w:ind w:left="360"/>
      </w:pPr>
      <w:r>
        <w:rPr>
          <w:color w:val="1F4E79"/>
          <w:sz w:val="16"/>
        </w:rPr>
        <w:t xml:space="preserve">●  </w:t>
      </w:r>
      <w:r>
        <w:rPr>
          <w:sz w:val="21"/>
        </w:rPr>
        <w:t>Pedregosa, F. et al., "Scikit-learn: Machine Learning in Python", Journal of Machine Learning Research, 2011.</w:t>
      </w:r>
    </w:p>
    <w:p>
      <w:pPr>
        <w:spacing w:after="60" w:line="276" w:lineRule="auto"/>
        <w:ind w:left="360"/>
      </w:pPr>
      <w:r>
        <w:rPr>
          <w:color w:val="1F4E79"/>
          <w:sz w:val="16"/>
        </w:rPr>
        <w:t xml:space="preserve">●  </w:t>
      </w:r>
      <w:r>
        <w:rPr>
          <w:sz w:val="21"/>
        </w:rPr>
        <w:t>Streamlit Documentation — https://docs.streamlit.io</w:t>
      </w:r>
    </w:p>
    <w:p>
      <w:pPr>
        <w:spacing w:after="60" w:line="276" w:lineRule="auto"/>
        <w:ind w:left="360"/>
      </w:pPr>
      <w:r>
        <w:rPr>
          <w:color w:val="1F4E79"/>
          <w:sz w:val="16"/>
        </w:rPr>
        <w:t xml:space="preserve">●  </w:t>
      </w:r>
      <w:r>
        <w:rPr>
          <w:sz w:val="21"/>
        </w:rPr>
        <w:t>Scikit-learn Documentation — https://scikit-learn.org</w:t>
      </w:r>
    </w:p>
    <w:p>
      <w:pPr>
        <w:spacing w:before="240" w:after="120"/>
      </w:pPr>
      <w:r>
        <w:rPr>
          <w:i/>
          <w:color w:val="787878"/>
          <w:sz w:val="17"/>
        </w:rPr>
        <w:t>AI-tool disclosure: Portions of code documentation and this report structure were drafted with the assistance of an AI writing tool, reviewed and verified against the actual project notebook and app outputs.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