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900"/>
        <w:jc w:val="center"/>
      </w:pPr>
      <w:r>
        <w:rPr>
          <w:rFonts w:ascii="Microsoft YaHei" w:cs="Microsoft YaHei" w:eastAsia="Microsoft YaHei" w:hAnsi="Microsoft YaHei"/>
          <w:b/>
          <w:bCs/>
          <w:color w:val="17324D"/>
          <w:sz w:val="42"/>
          <w:szCs w:val="42"/>
        </w:rPr>
        <w:t xml:space="preserve">蚌埠学院</w:t>
      </w:r>
    </w:p>
    <w:p>
      <w:pPr>
        <w:spacing w:after="180" w:before="620"/>
        <w:jc w:val="center"/>
      </w:pPr>
      <w:r>
        <w:rPr>
          <w:rFonts w:ascii="Microsoft YaHei" w:cs="Microsoft YaHei" w:eastAsia="Microsoft YaHei" w:hAnsi="Microsoft YaHei"/>
          <w:b/>
          <w:bCs/>
          <w:color w:val="167B68"/>
          <w:sz w:val="34"/>
          <w:szCs w:val="34"/>
        </w:rPr>
        <w:t xml:space="preserve">软件系统设计与体系结构综合实训</w:t>
      </w:r>
    </w:p>
    <w:p>
      <w:pPr>
        <w:spacing w:after="750"/>
        <w:jc w:val="center"/>
      </w:pPr>
      <w:r>
        <w:rPr>
          <w:rFonts w:ascii="Microsoft YaHei" w:cs="Microsoft YaHei" w:eastAsia="Microsoft YaHei" w:hAnsi="Microsoft YaHei"/>
          <w:b/>
          <w:bCs/>
          <w:color w:val="17324D"/>
          <w:sz w:val="50"/>
          <w:szCs w:val="50"/>
        </w:rPr>
        <w:t xml:space="preserve">综合实训设计报告</w:t>
      </w:r>
    </w:p>
    <w:p>
      <w:pPr>
        <w:spacing w:after="520"/>
        <w:jc w:val="center"/>
      </w:pPr>
      <w:r>
        <w:rPr>
          <w:rFonts w:ascii="Microsoft YaHei" w:cs="Microsoft YaHei" w:eastAsia="Microsoft YaHei" w:hAnsi="Microsoft YaHei"/>
          <w:b/>
          <w:bCs/>
          <w:color w:val="4B729B"/>
          <w:sz w:val="38"/>
          <w:szCs w:val="38"/>
        </w:rPr>
        <w:t xml:space="preserve">个人财务管理与可视化看板</w:t>
      </w:r>
    </w:p>
    <w:tbl>
      <w:tblPr>
        <w:tblW w:type="pct" w:w="100%"/>
        <w:tblBorders>
          <w:top w:val="single" w:color="DCE5E8" w:sz="4"/>
          <w:left w:val="single" w:color="DCE5E8" w:sz="4"/>
          <w:bottom w:val="single" w:color="DCE5E8" w:sz="4"/>
          <w:right w:val="single" w:color="DCE5E8" w:sz="4"/>
          <w:insideH w:val="single" w:color="DCE5E8" w:sz="3"/>
          <w:insideV w:val="single" w:color="DCE5E8" w:sz="3"/>
        </w:tblBorders>
      </w:tblPr>
      <w:tblGrid>
        <w:gridCol w:w="2800"/>
        <w:gridCol w:w="5600"/>
      </w:tblGrid>
      <w:tr>
        <w:trPr>
          <w:tblHeader/>
        </w:trPr>
        <w:tc>
          <w:tcPr>
            <w:shd w:fill="17324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shd w:fill="17324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请填写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学院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计算机与信息工程学院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姓名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【请填写姓名】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学号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【请填写学号】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班级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【请填写班级】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指导教师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【请填写指导教师】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完成日期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2026 年 9 月</w:t>
            </w:r>
          </w:p>
        </w:tc>
      </w:tr>
    </w:tbl>
    <w:p>
      <w:r>
        <w:br w:type="page"/>
      </w:r>
    </w:p>
    <w:p>
      <w:pPr>
        <w:pStyle w:val="Heading1"/>
        <w:spacing w:after="140" w:before="180"/>
      </w:pPr>
      <w:r>
        <w:t xml:space="preserve">摘  要</w:t>
      </w:r>
    </w:p>
    <w:p>
      <w:pPr>
        <w:spacing w:after="140" w:line="360"/>
        <w:jc w:val="both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本项目设计并实现了一套本地优先的个人财务管理与可视化看板“一目”。系统面向拥有多个支付账户、希望建立预算与储蓄习惯的个人用户，围绕账户、交易、预算、目标和报表形成完整业务闭环。用户可以录入收入、支出和账户间转账，系统根据可追溯交易实时推导账户余额、净资产、月度现金流和预算使用状态；同时支持 CSV 账单导入、重复识别、批次撤销、目标进度管理、原始数据导出和彻底删除。</w:t>
      </w:r>
    </w:p>
    <w:p>
      <w:pPr>
        <w:spacing w:after="140" w:line="360"/>
        <w:jc w:val="both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系统采用 MVC 分层架构和观察者模式。Model 集中封装金额、余额与报表计算规则，Controller 负责交互编排，View 根据只读状态渲染响应式界面。金额统一以整数分存储，避免浮点累计误差；本地服务器仅监听回环地址，并通过路径约束、内容安全策略和响应头降低本地演示风险。项目提供 30 项自动化测试、真实浏览器回归脚本、Java 17 可执行 JAR 和一键启动脚本，能够满足课程实训的设计、实现、测试、部署与答辩要求。</w:t>
      </w:r>
    </w:p>
    <w:p>
      <w:pPr>
        <w:spacing w:after="140" w:line="360"/>
        <w:jc w:val="both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关键词：个人财务；MVC；观察者模式；可视化看板；本地优先；软件体系结构</w:t>
      </w:r>
    </w:p>
    <w:p>
      <w:r>
        <w:br w:type="page"/>
      </w:r>
    </w:p>
    <w:p>
      <w:pPr>
        <w:pStyle w:val="Heading1"/>
        <w:spacing w:after="140" w:before="180"/>
      </w:pPr>
      <w: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40" w:before="180"/>
      </w:pPr>
      <w:r>
        <w:t xml:space="preserve">1 项目概述</w:t>
      </w:r>
    </w:p>
    <w:p>
      <w:pPr>
        <w:pStyle w:val="Heading2"/>
        <w:spacing w:after="140" w:before="180"/>
      </w:pPr>
      <w:r>
        <w:t xml:space="preserve">1.1 项目背景</w:t>
      </w:r>
    </w:p>
    <w:p>
      <w:pPr>
        <w:spacing w:after="140" w:line="360"/>
        <w:jc w:val="both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个人财务数据通常分散在银行卡、第三方支付、现金和信用账户中。传统记账工具容易停留在流水堆积层面，用户仍然难以快速回答“钱在哪里、钱花到哪里、下一步如何调整”。本项目将交易记录作为唯一可追溯事实来源，用统一账户视图、预算节奏、目标进度和趋势报表把记录转化为可执行信息。</w:t>
      </w:r>
    </w:p>
    <w:p>
      <w:pPr>
        <w:pStyle w:val="Heading2"/>
        <w:spacing w:after="140" w:before="180"/>
      </w:pPr>
      <w:r>
        <w:t xml:space="preserve">1.2 建设目标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在一个界面中统一管理资产账户、负债账户及其动态余额。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完整支持收入、支出、转账的新增、编辑、删除和查询。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提供月度预算、财务目标、六个月现金流和支出分类分析。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提供 CSV 导入、重复识别、批次撤销、JSON 导出和数据彻底删除。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以 MVC 和观察者模式体现体系结构设计，并提供自动化测试与可执行程序。</w:t>
      </w:r>
    </w:p>
    <w:p>
      <w:pPr>
        <w:pStyle w:val="Heading2"/>
        <w:spacing w:after="140" w:before="180"/>
      </w:pPr>
      <w:r>
        <w:t xml:space="preserve">1.3 范围与边界</w:t>
      </w:r>
    </w:p>
    <w:p>
      <w:pPr>
        <w:spacing w:after="140" w:line="360"/>
        <w:jc w:val="both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课程提交版定位为单用户、本地优先应用，不包含用户注册、云端同步、多人权限、实时金融行情和投资建议。该边界既降低敏感财务数据外泄面，也使体系结构、领域规则和测试证据可以在无网络环境下完整演示。</w:t>
      </w:r>
    </w:p>
    <w:p>
      <w:pPr>
        <w:pStyle w:val="Heading1"/>
        <w:pageBreakBefore/>
        <w:spacing w:after="140" w:before="180"/>
      </w:pPr>
      <w:r>
        <w:t xml:space="preserve">2 需求分析</w:t>
      </w:r>
    </w:p>
    <w:p>
      <w:pPr>
        <w:pStyle w:val="Heading2"/>
        <w:spacing w:after="140" w:before="180"/>
      </w:pPr>
      <w:r>
        <w:t xml:space="preserve">2.1 功能需求</w:t>
      </w:r>
    </w:p>
    <w:tbl>
      <w:tblPr>
        <w:tblW w:type="pct" w:w="100%"/>
        <w:tblBorders>
          <w:top w:val="single" w:color="DCE5E8" w:sz="4"/>
          <w:left w:val="single" w:color="DCE5E8" w:sz="4"/>
          <w:bottom w:val="single" w:color="DCE5E8" w:sz="4"/>
          <w:right w:val="single" w:color="DCE5E8" w:sz="4"/>
          <w:insideH w:val="single" w:color="DCE5E8" w:sz="3"/>
          <w:insideV w:val="single" w:color="DCE5E8" w:sz="3"/>
        </w:tblBorders>
      </w:tblPr>
      <w:tblGrid>
        <w:gridCol w:w="1900"/>
        <w:gridCol w:w="5200"/>
        <w:gridCol w:w="1300"/>
      </w:tblGrid>
      <w:tr>
        <w:trPr>
          <w:tblHeader/>
        </w:trPr>
        <w:tc>
          <w:tcPr>
            <w:shd w:fill="17324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shd w:fill="17324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核心功能</w:t>
            </w:r>
          </w:p>
        </w:tc>
        <w:tc>
          <w:tcPr>
            <w:shd w:fill="17324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完成情况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财务概览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净资产、收支、结余率、资金轨迹、最近交易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已完成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交易管理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收入/支出/转账、编辑、删除、筛选与搜索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已完成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账户管理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资产/负债账户、期初余额、实时余额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已完成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预算管理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月度分类预算、阈值状态、删除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已完成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目标管理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储蓄/还债目标、新增、更新、删除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已完成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分析报表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六个月现金流、分类结构、本月洞察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已完成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数据管理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CSV 导入、重复识别、批次撤销、JSON 导出、彻底删除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已完成</w:t>
            </w:r>
          </w:p>
        </w:tc>
      </w:tr>
    </w:tbl>
    <w:p>
      <w:pPr>
        <w:pStyle w:val="Heading2"/>
        <w:spacing w:after="140" w:before="180"/>
      </w:pPr>
      <w:r>
        <w:t xml:space="preserve">2.2 非功能需求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易用性：桌面端和移动端均可操作；表单字段具备明确标签；金额可一键隐藏。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正确性：金额以整数分计算；转账不计入收支；账户和交易必须满足引用完整性。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安全性：用户输入输出编码；CSV 大小和字段校验；服务端限制方法、路径和内容类型。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可维护性：Model、View、Controller 职责分离；计算函数保持纯函数，便于单元测试。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可部署性：提供 Java 17 可执行 JAR、Node 开发服务器和一键运行脚本。</w:t>
      </w:r>
    </w:p>
    <w:p>
      <w:pPr>
        <w:pStyle w:val="Heading1"/>
        <w:pageBreakBefore/>
        <w:spacing w:after="140" w:before="180"/>
      </w:pPr>
      <w:r>
        <w:t xml:space="preserve">3 总体设计</w:t>
      </w:r>
    </w:p>
    <w:p>
      <w:pPr>
        <w:pStyle w:val="Heading2"/>
        <w:spacing w:after="140" w:before="180"/>
      </w:pPr>
      <w:r>
        <w:t xml:space="preserve">3.1 体系结构选择</w:t>
      </w:r>
    </w:p>
    <w:p>
      <w:pPr>
        <w:spacing w:after="140" w:line="360"/>
        <w:jc w:val="both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系统采用 MVC 分层体系结构。表现层由响应式 HTML/CSS 与 DashboardView 组成；控制层由 AppController 统一处理导航、表单、筛选、导入导出和高影响确认；领域层由 FinanceStore 与一组纯计算函数组成；持久化层使用 localStorage，并通过 Java 或 Node 本地服务器交付静态资源。该结构使业务规则与界面实现解耦，后续可以在保持 View/Controller 大部分接口不变的情况下替换为 REST API 和数据库。</w:t>
      </w:r>
    </w:p>
    <w:p>
      <w:pPr>
        <w:spacing w:after="80" w:before="120"/>
        <w:jc w:val="center"/>
      </w:pPr>
      <w:r>
        <w:drawing>
          <wp:inline distT="0" distB="0" distL="0" distR="0">
            <wp:extent cx="619125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687D8F"/>
          <w:sz w:val="18"/>
          <w:szCs w:val="18"/>
        </w:rPr>
        <w:t xml:space="preserve">图 3-1  系统 MVC 分层与本地运行边界</w:t>
      </w:r>
    </w:p>
    <w:p>
      <w:pPr>
        <w:pStyle w:val="Heading2"/>
        <w:spacing w:after="140" w:before="180"/>
      </w:pPr>
      <w:r>
        <w:t xml:space="preserve">3.2 模块划分</w:t>
      </w:r>
    </w:p>
    <w:tbl>
      <w:tblPr>
        <w:tblW w:type="pct" w:w="100%"/>
        <w:tblBorders>
          <w:top w:val="single" w:color="DCE5E8" w:sz="4"/>
          <w:left w:val="single" w:color="DCE5E8" w:sz="4"/>
          <w:bottom w:val="single" w:color="DCE5E8" w:sz="4"/>
          <w:right w:val="single" w:color="DCE5E8" w:sz="4"/>
          <w:insideH w:val="single" w:color="DCE5E8" w:sz="3"/>
          <w:insideV w:val="single" w:color="DCE5E8" w:sz="3"/>
        </w:tblBorders>
      </w:tblPr>
      <w:tblGrid>
        <w:gridCol w:w="1600"/>
        <w:gridCol w:w="3000"/>
        <w:gridCol w:w="3800"/>
      </w:tblGrid>
      <w:tr>
        <w:trPr>
          <w:tblHeader/>
        </w:trPr>
        <w:tc>
          <w:tcPr>
            <w:shd w:fill="17324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shd w:fill="17324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主要文件</w:t>
            </w:r>
          </w:p>
        </w:tc>
        <w:tc>
          <w:tcPr>
            <w:shd w:fill="17324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组装入口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src/app.js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创建 Store、View、Controller 并启动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控制层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src/controller/app-controller.js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处理用户事件和业务流程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模型层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src/model/finance-model.js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状态、校验、计算、持久化与通知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视图层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src/view/dashboard-view.js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渲染六个业务页面和可视化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演示数据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src/data/seed-data.js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首次启动时提供可讲解数据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部署层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src/main/java/.../Main.java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本地静态资源服务与安全响应头</w:t>
            </w:r>
          </w:p>
        </w:tc>
      </w:tr>
    </w:tbl>
    <w:p>
      <w:pPr>
        <w:pStyle w:val="Heading1"/>
        <w:pageBreakBefore/>
        <w:spacing w:after="140" w:before="180"/>
      </w:pPr>
      <w:r>
        <w:t xml:space="preserve">4 详细设计</w:t>
      </w:r>
    </w:p>
    <w:p>
      <w:pPr>
        <w:pStyle w:val="Heading2"/>
        <w:spacing w:after="140" w:before="180"/>
      </w:pPr>
      <w:r>
        <w:t xml:space="preserve">4.1 核心数据模型</w:t>
      </w:r>
    </w:p>
    <w:p>
      <w:pPr>
        <w:spacing w:after="80" w:before="120"/>
        <w:jc w:val="center"/>
      </w:pPr>
      <w:r>
        <w:drawing>
          <wp:inline distT="0" distB="0" distL="0" distR="0">
            <wp:extent cx="619125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687D8F"/>
          <w:sz w:val="18"/>
          <w:szCs w:val="18"/>
        </w:rPr>
        <w:t xml:space="preserve">图 4-1  核心数据对象与关联</w:t>
      </w:r>
    </w:p>
    <w:tbl>
      <w:tblPr>
        <w:tblW w:type="pct" w:w="100%"/>
        <w:tblBorders>
          <w:top w:val="single" w:color="DCE5E8" w:sz="4"/>
          <w:left w:val="single" w:color="DCE5E8" w:sz="4"/>
          <w:bottom w:val="single" w:color="DCE5E8" w:sz="4"/>
          <w:right w:val="single" w:color="DCE5E8" w:sz="4"/>
          <w:insideH w:val="single" w:color="DCE5E8" w:sz="3"/>
          <w:insideV w:val="single" w:color="DCE5E8" w:sz="3"/>
        </w:tblBorders>
      </w:tblPr>
      <w:tblGrid>
        <w:gridCol w:w="1500"/>
        <w:gridCol w:w="3500"/>
        <w:gridCol w:w="3400"/>
      </w:tblGrid>
      <w:tr>
        <w:trPr>
          <w:tblHeader/>
        </w:trPr>
        <w:tc>
          <w:tcPr>
            <w:shd w:fill="17324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对象</w:t>
            </w:r>
          </w:p>
        </w:tc>
        <w:tc>
          <w:tcPr>
            <w:shd w:fill="17324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关键字段</w:t>
            </w:r>
          </w:p>
        </w:tc>
        <w:tc>
          <w:tcPr>
            <w:shd w:fill="17324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设计说明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Account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id, name, kind, openingBalanceCents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账户只保存期初值，实时余额由交易推导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Transaction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type, amountCents, date, accountId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收入、支出、转账统一建模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Budget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month, category, limitCents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月份与分类构成逻辑唯一键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Goal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targetCents, currentCents, targetDate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支持储蓄与还债目标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ImportBatch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id, transactionCount, status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保存导入批次并支持整批撤销</w:t>
            </w:r>
          </w:p>
        </w:tc>
      </w:tr>
    </w:tbl>
    <w:p>
      <w:pPr>
        <w:pStyle w:val="Heading2"/>
        <w:spacing w:after="140" w:before="180"/>
      </w:pPr>
      <w:r>
        <w:t xml:space="preserve">4.2 关键计算规则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资产余额 = 期初余额 + 收入 + 转入 − 支出 − 转出。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负债余额 = 期初未偿金额 + 消费支出 − 还款转入。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净资产 = 资产账户余额合计 − 负债账户余额合计。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结余率 =（收入 − 支出）÷ 收入；收入为零时显示“不适用”。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预算使用率低于 80% 为正常，达到 80% 为提醒，达到 100% 为超支。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转账只改变相关账户余额，不进入收入、支出和净现金流统计。</w:t>
      </w:r>
    </w:p>
    <w:p>
      <w:pPr>
        <w:pStyle w:val="Heading2"/>
        <w:spacing w:after="140" w:before="180"/>
      </w:pPr>
      <w:r>
        <w:t xml:space="preserve">4.3 关键业务流程</w:t>
      </w:r>
    </w:p>
    <w:p>
      <w:pPr>
        <w:spacing w:after="140" w:line="360"/>
        <w:jc w:val="both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新增交易流程为：用户打开表单并选择类型 → Controller 读取并规范化字段 → Store 校验金额和账户引用 → 状态写入 localStorage → Store 发布具名变更事件 → Controller 取得新快照 → View 同步刷新余额、看板、预算和报表。编辑与删除交易复用同一条通知链，因此不会出现局部界面更新而其他指标滞后的问题。</w:t>
      </w:r>
    </w:p>
    <w:p>
      <w:pPr>
        <w:pStyle w:val="Heading1"/>
        <w:pageBreakBefore/>
        <w:spacing w:after="140" w:before="180"/>
      </w:pPr>
      <w:r>
        <w:t xml:space="preserve">5 设计模式应用</w:t>
      </w:r>
    </w:p>
    <w:p>
      <w:pPr>
        <w:pStyle w:val="Heading2"/>
        <w:spacing w:after="140" w:before="180"/>
      </w:pPr>
      <w:r>
        <w:t xml:space="preserve">5.1 观察者模式</w:t>
      </w:r>
    </w:p>
    <w:p>
      <w:pPr>
        <w:spacing w:after="140" w:line="360"/>
        <w:jc w:val="both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FinanceStore 作为主题维护观察者集合，subscribe 用于订阅，所有成功写操作在持久化后发布事件。AppController 订阅状态变更并调用 DashboardView.render。这样，新增交易等业务操作无需知道有哪些界面组件依赖它，降低了模型与 DOM 的耦合。</w:t>
      </w:r>
    </w:p>
    <w:p>
      <w:pPr>
        <w:spacing w:after="80" w:before="120"/>
        <w:jc w:val="center"/>
      </w:pPr>
      <w:r>
        <w:drawing>
          <wp:inline distT="0" distB="0" distL="0" distR="0">
            <wp:extent cx="619125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687D8F"/>
          <w:sz w:val="18"/>
          <w:szCs w:val="18"/>
        </w:rPr>
        <w:t xml:space="preserve">图 5-1  观察者模式协作过程</w:t>
      </w:r>
    </w:p>
    <w:p>
      <w:pPr>
        <w:pStyle w:val="Heading2"/>
        <w:spacing w:after="140" w:before="180"/>
      </w:pPr>
      <w:r>
        <w:t xml:space="preserve">5.2 策略化计算与适配点</w:t>
      </w:r>
    </w:p>
    <w:p>
      <w:pPr>
        <w:spacing w:after="140" w:line="360"/>
        <w:jc w:val="both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账户余额、月度汇总、预算进度、现金流序列和分类结构均实现为独立纯函数，可以视为可替换的计算策略。持久化通过统一 load/save 入口与业务操作隔离，当前适配 localStorage，未来可替换为远程仓储；服务器实现也同时提供 Node 开发形态和 Java 交付形态。</w:t>
      </w:r>
    </w:p>
    <w:p>
      <w:pPr>
        <w:pStyle w:val="Heading1"/>
        <w:pageBreakBefore/>
        <w:spacing w:after="140" w:before="180"/>
      </w:pPr>
      <w:r>
        <w:t xml:space="preserve">6 系统实现</w:t>
      </w:r>
    </w:p>
    <w:p>
      <w:pPr>
        <w:pStyle w:val="Heading2"/>
        <w:spacing w:after="140" w:before="180"/>
      </w:pPr>
      <w:r>
        <w:t xml:space="preserve">6.1 页面与交互</w:t>
      </w:r>
    </w:p>
    <w:p>
      <w:pPr>
        <w:spacing w:after="140" w:line="360"/>
        <w:jc w:val="both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系统使用深海军蓝、克制绿色和橙色告警构成统一视觉语言。左侧导航在移动端转换为底部六宫格；概览页将净资产和本月现金流置于首要层级；交易、预算和目标均提供明确的创建及维护入口；报表页同时呈现趋势、结构和文字洞察。</w:t>
      </w:r>
    </w:p>
    <w:p>
      <w:pPr>
        <w:spacing w:after="80" w:before="120"/>
        <w:jc w:val="center"/>
      </w:pPr>
      <w:r>
        <w:drawing>
          <wp:inline distT="0" distB="0" distL="0" distR="0">
            <wp:extent cx="6191250" cy="429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687D8F"/>
          <w:sz w:val="18"/>
          <w:szCs w:val="18"/>
        </w:rPr>
        <w:t xml:space="preserve">图 6-1  财务概览桌面端界面</w:t>
      </w:r>
    </w:p>
    <w:p>
      <w:pPr>
        <w:spacing w:after="80" w:before="120"/>
        <w:jc w:val="center"/>
      </w:pPr>
      <w:r>
        <w:drawing>
          <wp:inline distT="0" distB="0" distL="0" distR="0">
            <wp:extent cx="6191250" cy="429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687D8F"/>
          <w:sz w:val="18"/>
          <w:szCs w:val="18"/>
        </w:rPr>
        <w:t xml:space="preserve">图 6-2  分析报表界面</w:t>
      </w:r>
    </w:p>
    <w:p>
      <w:pPr>
        <w:pStyle w:val="Heading2"/>
        <w:spacing w:after="140" w:before="180"/>
      </w:pPr>
      <w:r>
        <w:t xml:space="preserve">6.2 数据导入与可追溯性</w:t>
      </w:r>
    </w:p>
    <w:p>
      <w:pPr>
        <w:spacing w:after="140" w:line="360"/>
        <w:jc w:val="both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CSV 解析器支持中文表头和带引号字段，将元转换为整数分。重复指纹由日期、金额、账户和商户组合构成，疑似重复项必须经用户确认后跳过。每次导入形成独立 ImportBatch，并把 batchId 写入相关交易；撤销批次时按该标识精确删除，状态保留为已撤销，便于说明数据变化来源。</w:t>
      </w:r>
    </w:p>
    <w:p>
      <w:pPr>
        <w:pStyle w:val="Heading2"/>
        <w:spacing w:after="140" w:before="180"/>
      </w:pPr>
      <w:r>
        <w:t xml:space="preserve">6.3 打包与运行</w:t>
      </w:r>
    </w:p>
    <w:p>
      <w:pPr>
        <w:spacing w:after="140" w:line="360"/>
        <w:jc w:val="both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Maven 在构建时把 index.html、styles.css 与 src 下的 JavaScript 复制到 JAR 的 web 目录，Main 类使用 JDK 自带 HttpServer 从类路径读取资源。程序默认只绑定 127.0.0.1:4173，运行后浏览器访问该地址即可。run.bat 封装了 java -jar 命令，适合课堂现场演示。</w:t>
      </w:r>
    </w:p>
    <w:p>
      <w:pPr>
        <w:pStyle w:val="Heading1"/>
        <w:pageBreakBefore/>
        <w:spacing w:after="140" w:before="180"/>
      </w:pPr>
      <w:r>
        <w:t xml:space="preserve">7 测试与质量保证</w:t>
      </w:r>
    </w:p>
    <w:p>
      <w:pPr>
        <w:pStyle w:val="Heading2"/>
        <w:spacing w:after="140" w:before="180"/>
      </w:pPr>
      <w:r>
        <w:t xml:space="preserve">7.1 测试方法</w:t>
      </w:r>
    </w:p>
    <w:tbl>
      <w:tblPr>
        <w:tblW w:type="pct" w:w="100%"/>
        <w:tblBorders>
          <w:top w:val="single" w:color="DCE5E8" w:sz="4"/>
          <w:left w:val="single" w:color="DCE5E8" w:sz="4"/>
          <w:bottom w:val="single" w:color="DCE5E8" w:sz="4"/>
          <w:right w:val="single" w:color="DCE5E8" w:sz="4"/>
          <w:insideH w:val="single" w:color="DCE5E8" w:sz="3"/>
          <w:insideV w:val="single" w:color="DCE5E8" w:sz="3"/>
        </w:tblBorders>
      </w:tblPr>
      <w:tblGrid>
        <w:gridCol w:w="1800"/>
        <w:gridCol w:w="5000"/>
        <w:gridCol w:w="1600"/>
      </w:tblGrid>
      <w:tr>
        <w:trPr>
          <w:tblHeader/>
        </w:trPr>
        <w:tc>
          <w:tcPr>
            <w:shd w:fill="17324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测试层次</w:t>
            </w:r>
          </w:p>
        </w:tc>
        <w:tc>
          <w:tcPr>
            <w:shd w:fill="17324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覆盖内容</w:t>
            </w:r>
          </w:p>
        </w:tc>
        <w:tc>
          <w:tcPr>
            <w:shd w:fill="17324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结果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领域单元测试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余额、净资产、预算边界、CSV、重复识别、观察者、目标、报表、清空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全部通过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结构与安全测试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MVC 组装、六页面、可访问表单、路径穿越、隐藏目录、JAR 配置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全部通过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文档检查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必需章节与 Markdown 内部链接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全部通过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浏览器回归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交易编辑、搜索筛选、导入撤销、预算、目标、报表、响应式截图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全部通过</w:t>
            </w:r>
          </w:p>
        </w:tc>
      </w:tr>
    </w:tbl>
    <w:p>
      <w:pPr>
        <w:pStyle w:val="Heading2"/>
        <w:spacing w:after="140" w:before="180"/>
      </w:pPr>
      <w:r>
        <w:t xml:space="preserve">7.2 关键测试用例</w:t>
      </w:r>
    </w:p>
    <w:tbl>
      <w:tblPr>
        <w:tblW w:type="pct" w:w="100%"/>
        <w:tblBorders>
          <w:top w:val="single" w:color="DCE5E8" w:sz="4"/>
          <w:left w:val="single" w:color="DCE5E8" w:sz="4"/>
          <w:bottom w:val="single" w:color="DCE5E8" w:sz="4"/>
          <w:right w:val="single" w:color="DCE5E8" w:sz="4"/>
          <w:insideH w:val="single" w:color="DCE5E8" w:sz="3"/>
          <w:insideV w:val="single" w:color="DCE5E8" w:sz="3"/>
        </w:tblBorders>
      </w:tblPr>
      <w:tblGrid>
        <w:gridCol w:w="1000"/>
        <w:gridCol w:w="4100"/>
        <w:gridCol w:w="3300"/>
      </w:tblGrid>
      <w:tr>
        <w:trPr>
          <w:tblHeader/>
        </w:trPr>
        <w:tc>
          <w:tcPr>
            <w:shd w:fill="17324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shd w:fill="17324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shd w:fill="17324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预期结果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T01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资产账户发生收入、支出和转账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余额按规则准确更新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T02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信用卡消费后通过资产账户还款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负债先增加后减少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T03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收入为零时计算结余率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返回不适用，无 Infinity/NaN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T04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CSV 含引号商户并重复导入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正确解析并提示疑似重复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T05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撤销一个导入批次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仅移除该批次交易并重算指标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T06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访问编码路径穿越地址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服务器拒绝并不暴露文件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T07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切换到报表页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趋势、分类结构和洞察均可见</w:t>
            </w:r>
          </w:p>
        </w:tc>
      </w:tr>
    </w:tbl>
    <w:p>
      <w:pPr>
        <w:spacing w:after="140" w:line="360"/>
        <w:jc w:val="both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截至提交版本，Node 自动化测试共 32 项，全部通过；真实 Chromium 回归执行通过，页面无控制台错误。测试命令为 npm run validate 和 npm run test:browser。</w:t>
      </w:r>
    </w:p>
    <w:p>
      <w:pPr>
        <w:pStyle w:val="Heading1"/>
        <w:pageBreakBefore/>
        <w:spacing w:after="140" w:before="180"/>
      </w:pPr>
      <w:r>
        <w:t xml:space="preserve">8 安全性与可靠性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所有写入 innerHTML 的用户字段统一做 HTML 实体编码，降低存储型脚本注入风险。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CSV 内容上限为 2MB；交易金额必须为正；账户引用必须存在；编辑不存在记录时拒绝静默创建。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Java 与 Node 服务器都只允许 GET/HEAD，拒绝路径穿越和隐藏目录访问。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响应包含 CSP、X-Content-Type-Options、X-Frame-Options 和 Referrer-Policy。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清空全部数据、删除交易、撤销导入等高影响操作均需用户确认。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本地存储不宣称提供多用户隔离；若产品化，必须增加认证授权、服务端事务、传输和静态加密。</w:t>
      </w:r>
    </w:p>
    <w:p>
      <w:pPr>
        <w:pStyle w:val="Heading1"/>
        <w:pageBreakBefore/>
        <w:spacing w:after="140" w:before="180"/>
      </w:pPr>
      <w:r>
        <w:t xml:space="preserve">9 项目成果与总结</w:t>
      </w:r>
    </w:p>
    <w:p>
      <w:pPr>
        <w:spacing w:after="140" w:line="360"/>
        <w:jc w:val="both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本项目完成了从需求分析、产品设计、体系结构设计、详细设计到编码、测试和部署的完整实训链路。系统不以静态原型结束，而是交付可直接运行的 Java 程序和配套源代码；核心业务闭环、报表分析、数据治理及安全边界均有实现与测试证据。MVC 使关注点清晰分离，观察者模式保证不同视图对同一状态变更保持一致，整数分和纯函数计算提高了财务数据的正确性与可测试性。</w:t>
      </w:r>
    </w:p>
    <w:p>
      <w:pPr>
        <w:spacing w:after="140" w:line="360"/>
        <w:jc w:val="both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后续可以在保持领域接口稳定的基础上增加登录与服务端数据库、可视化字段映射、分类维护、年度预算和多端同步。本次实训说明了体系结构并非形式化图示，而是直接影响代码可读性、变化成本、测试难度和部署可靠性的工程决策。</w:t>
      </w:r>
    </w:p>
    <w:p>
      <w:pPr>
        <w:pStyle w:val="Heading1"/>
        <w:pageBreakBefore/>
        <w:spacing w:after="140" w:before="180"/>
      </w:pPr>
      <w:r>
        <w:t xml:space="preserve">10 小组分工</w:t>
      </w:r>
    </w:p>
    <w:tbl>
      <w:tblPr>
        <w:tblW w:type="pct" w:w="100%"/>
        <w:tblBorders>
          <w:top w:val="single" w:color="DCE5E8" w:sz="4"/>
          <w:left w:val="single" w:color="DCE5E8" w:sz="4"/>
          <w:bottom w:val="single" w:color="DCE5E8" w:sz="4"/>
          <w:right w:val="single" w:color="DCE5E8" w:sz="4"/>
          <w:insideH w:val="single" w:color="DCE5E8" w:sz="3"/>
          <w:insideV w:val="single" w:color="DCE5E8" w:sz="3"/>
        </w:tblBorders>
      </w:tblPr>
      <w:tblGrid>
        <w:gridCol w:w="1800"/>
        <w:gridCol w:w="1800"/>
        <w:gridCol w:w="3900"/>
        <w:gridCol w:w="1200"/>
      </w:tblGrid>
      <w:tr>
        <w:trPr>
          <w:tblHeader/>
        </w:trPr>
        <w:tc>
          <w:tcPr>
            <w:shd w:fill="17324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成员</w:t>
            </w:r>
          </w:p>
        </w:tc>
        <w:tc>
          <w:tcPr>
            <w:shd w:fill="17324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学号</w:t>
            </w:r>
          </w:p>
        </w:tc>
        <w:tc>
          <w:tcPr>
            <w:shd w:fill="17324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主要工作</w:t>
            </w:r>
          </w:p>
        </w:tc>
        <w:tc>
          <w:tcPr>
            <w:shd w:fill="17324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贡献比例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【请填写】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【请填写】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需求分析、体系结构设计、前端实现、测试与文档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100%（个人项目）</w:t>
            </w:r>
          </w:p>
        </w:tc>
      </w:tr>
      <w:tr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【如为小组请新增】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【请填写】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【请填写实际分工】</w:t>
            </w:r>
          </w:p>
        </w:tc>
        <w:tc>
          <w:tcPr>
            <w:shd w:fill="FCFD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7324D"/>
                <w:sz w:val="19"/>
                <w:szCs w:val="19"/>
              </w:rPr>
              <w:t xml:space="preserve">【请填写】</w:t>
            </w:r>
          </w:p>
        </w:tc>
      </w:tr>
    </w:tbl>
    <w:p>
      <w:pPr>
        <w:pStyle w:val="Heading1"/>
        <w:pageBreakBefore/>
        <w:spacing w:after="140" w:before="180"/>
      </w:pPr>
      <w:r>
        <w:t xml:space="preserve">参考文献</w:t>
      </w:r>
    </w:p>
    <w:p>
      <w:pPr>
        <w:spacing w:after="140" w:line="360"/>
        <w:jc w:val="both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[1] 软件系统设计与体系结构综合实训指导书，蚌埠学院计算机与信息工程学院。</w:t>
      </w:r>
    </w:p>
    <w:p>
      <w:pPr>
        <w:spacing w:after="140" w:line="360"/>
        <w:jc w:val="both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[2] Gamma E, Helm R, Johnson R, Vlissides J. Design Patterns: Elements of Reusable Object-Oriented Software. Addison-Wesley, 1994.</w:t>
      </w:r>
    </w:p>
    <w:p>
      <w:pPr>
        <w:spacing w:after="140" w:line="360"/>
        <w:jc w:val="both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[3] Fielding R. Architectural Styles and the Design of Network-based Software Architectures. University of California, Irvine, 2000.</w:t>
      </w:r>
    </w:p>
    <w:p>
      <w:pPr>
        <w:spacing w:after="140" w:line="360"/>
        <w:jc w:val="both"/>
      </w:pPr>
      <w:r>
        <w:rPr>
          <w:rFonts w:ascii="Microsoft YaHei" w:cs="Microsoft YaHei" w:eastAsia="Microsoft YaHei" w:hAnsi="Microsoft YaHei"/>
          <w:color w:val="17324D"/>
          <w:sz w:val="22"/>
          <w:szCs w:val="22"/>
        </w:rPr>
        <w:t xml:space="preserve">[4] WHATWG. HTML Living Standard. 表单、Dialog、Web Storage 相关规范。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87D8F"/>
        <w:sz w:val="17"/>
        <w:szCs w:val="17"/>
      </w:rPr>
      <w:t xml:space="preserve">一目 · 个人财务管理与可视化看板    </w:t>
    </w:r>
    <w:r>
      <w:rPr>
        <w:color w:val="687D8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7324D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20" w:before="180"/>
      <w:jc w:val="center"/>
    </w:pPr>
    <w:rPr>
      <w:rFonts w:ascii="Microsoft YaHei" w:cs="Microsoft YaHei" w:eastAsia="Microsoft YaHei" w:hAnsi="Microsoft YaHei"/>
      <w:b/>
      <w:bCs/>
      <w:color w:val="17324D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60" w:before="260"/>
      <w:outlineLvl w:val="0"/>
    </w:pPr>
    <w:rPr>
      <w:rFonts w:ascii="Microsoft YaHei" w:cs="Microsoft YaHei" w:eastAsia="Microsoft YaHei" w:hAnsi="Microsoft YaHei"/>
      <w:b/>
      <w:bCs/>
      <w:color w:val="17324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00"/>
      <w:outlineLvl w:val="1"/>
    </w:pPr>
    <w:rPr>
      <w:rFonts w:ascii="Microsoft YaHei" w:cs="Microsoft YaHei" w:eastAsia="Microsoft YaHei" w:hAnsi="Microsoft YaHei"/>
      <w:b/>
      <w:bCs/>
      <w:color w:val="167B68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160"/>
      <w:outlineLvl w:val="2"/>
    </w:pPr>
    <w:rPr>
      <w:rFonts w:ascii="Microsoft YaHei" w:cs="Microsoft YaHei" w:eastAsia="Microsoft YaHei" w:hAnsi="Microsoft YaHei"/>
      <w:b/>
      <w:bCs/>
      <w:color w:val="4B729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dc3aad3bbe5e5e70bba4b926c89af73e211c321.png"/><Relationship Id="rId9" Type="http://schemas.openxmlformats.org/officeDocument/2006/relationships/image" Target="media/4c37d4395db85300ad363aafb6acec123f0da4fa.png"/><Relationship Id="rId10" Type="http://schemas.openxmlformats.org/officeDocument/2006/relationships/image" Target="media/ca80cf75811ab93348c5a58183f8e47666f08420.png"/><Relationship Id="rId11" Type="http://schemas.openxmlformats.org/officeDocument/2006/relationships/image" Target="media/02c411b621efb0d0388482c34b26446a790b274f.png"/><Relationship Id="rId12" Type="http://schemas.openxmlformats.org/officeDocument/2006/relationships/image" Target="media/69cd6a34c3a024ffca2c85fb6d0281291232663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个人财务管理与可视化看板综合实训设计报告</dc:title>
  <dc:subject>软件系统设计与体系结构综合实训</dc:subject>
  <dc:creator>一目项目组</dc:creator>
  <cp:lastModifiedBy>Un-named</cp:lastModifiedBy>
  <cp:revision>1</cp:revision>
  <dcterms:created xsi:type="dcterms:W3CDTF">2026-09-14T06:36:01.421Z</dcterms:created>
  <dcterms:modified xsi:type="dcterms:W3CDTF">2026-09-14T06:36:01.422Z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