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7F7F7F"/>
          <w:sz w:val="20"/>
          <w:szCs w:val="20"/>
        </w:rPr>
        <w:t xml:space="preserve">NORTHBRIDGE DYNAMICS PVT. LTD.</w:t>
      </w:r>
    </w:p>
    <w:p>
      <w:pPr>
        <w:pBdr>
          <w:bottom w:val="single" w:color="1F3864" w:sz="12" w:space="4"/>
        </w:pBdr>
        <w:spacing w:after="160"/>
      </w:pPr>
      <w:r>
        <w:rPr>
          <w:rFonts w:ascii="Calibri" w:cs="Calibri" w:eastAsia="Calibri" w:hAnsi="Calibri"/>
          <w:b/>
          <w:bCs/>
          <w:color w:val="1F3864"/>
          <w:sz w:val="40"/>
          <w:szCs w:val="40"/>
        </w:rPr>
        <w:t xml:space="preserve">Code of Conduct and Ethics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Document detail</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Information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Document ID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HR-04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Version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Effective date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Policy owner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Head of HR and Legal</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Approved by</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Chief People Officer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Applies to</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All employees, interns and contract consultants of Northbridge Dynamics Pvt. Ltd.</w:t>
            </w:r>
          </w:p>
        </w:tc>
      </w:tr>
    </w:tbl>
    <w:p>
      <w:pPr>
        <w:spacing w:after="120"/>
      </w:pPr>
    </w:p>
    <w:p>
      <w:pPr>
        <w:pStyle w:val="Heading1"/>
        <w:keepNext/>
        <w:spacing w:after="120" w:before="280"/>
      </w:pPr>
      <w:r>
        <w:rPr>
          <w:rFonts w:ascii="Calibri" w:cs="Calibri" w:eastAsia="Calibri" w:hAnsi="Calibri"/>
          <w:b/>
          <w:bCs/>
          <w:color w:val="1F3864"/>
          <w:sz w:val="28"/>
          <w:szCs w:val="28"/>
        </w:rPr>
        <w:t xml:space="preserve">1. Purpose</w:t>
      </w:r>
    </w:p>
    <w:p>
      <w:pPr>
        <w:spacing w:after="100" w:line="276"/>
      </w:pPr>
      <w:r>
        <w:rPr>
          <w:rFonts w:ascii="Calibri" w:cs="Calibri" w:eastAsia="Calibri" w:hAnsi="Calibri"/>
          <w:sz w:val="21"/>
          <w:szCs w:val="21"/>
        </w:rPr>
        <w:t xml:space="preserve">This Code describes the behaviour we expect from everyone at Northbridge. Every employee must read it at joining and complete the annual Code of Conduct acknowledgement on the portal.</w:t>
      </w:r>
    </w:p>
    <w:p>
      <w:pPr>
        <w:pStyle w:val="Heading1"/>
        <w:keepNext/>
        <w:spacing w:after="120" w:before="280"/>
      </w:pPr>
      <w:r>
        <w:rPr>
          <w:rFonts w:ascii="Calibri" w:cs="Calibri" w:eastAsia="Calibri" w:hAnsi="Calibri"/>
          <w:b/>
          <w:bCs/>
          <w:color w:val="1F3864"/>
          <w:sz w:val="28"/>
          <w:szCs w:val="28"/>
        </w:rPr>
        <w:t xml:space="preserve">2. Respect and Professional Behaviour</w:t>
      </w:r>
    </w:p>
    <w:p>
      <w:pPr>
        <w:pStyle w:val="ListParagraph"/>
        <w:numPr>
          <w:ilvl w:val="0"/>
          <w:numId w:val="2"/>
        </w:numPr>
        <w:spacing w:after="60" w:line="276"/>
      </w:pPr>
      <w:r>
        <w:rPr>
          <w:rFonts w:ascii="Calibri" w:cs="Calibri" w:eastAsia="Calibri" w:hAnsi="Calibri"/>
          <w:sz w:val="21"/>
          <w:szCs w:val="21"/>
        </w:rPr>
        <w:t xml:space="preserve">Treat colleagues, customers, vendors and visitors with respect. Bullying, abusive language, threats, shouting and humiliating behaviour are not allowed, in person or online.</w:t>
      </w:r>
    </w:p>
    <w:p>
      <w:pPr>
        <w:pStyle w:val="ListParagraph"/>
        <w:numPr>
          <w:ilvl w:val="0"/>
          <w:numId w:val="2"/>
        </w:numPr>
        <w:spacing w:after="60" w:line="276"/>
      </w:pPr>
      <w:r>
        <w:rPr>
          <w:rFonts w:ascii="Calibri" w:cs="Calibri" w:eastAsia="Calibri" w:hAnsi="Calibri"/>
          <w:sz w:val="21"/>
          <w:szCs w:val="21"/>
        </w:rPr>
        <w:t xml:space="preserve">Discrimination or harassment based on gender, religion, caste, region, language, disability, age, marital status or sexual orientation is not allowed. Sexual harassment is dealt with under HR-05.</w:t>
      </w:r>
    </w:p>
    <w:p>
      <w:pPr>
        <w:pStyle w:val="ListParagraph"/>
        <w:numPr>
          <w:ilvl w:val="0"/>
          <w:numId w:val="2"/>
        </w:numPr>
        <w:spacing w:after="60" w:line="276"/>
      </w:pPr>
      <w:r>
        <w:rPr>
          <w:rFonts w:ascii="Calibri" w:cs="Calibri" w:eastAsia="Calibri" w:hAnsi="Calibri"/>
          <w:sz w:val="21"/>
          <w:szCs w:val="21"/>
        </w:rPr>
        <w:t xml:space="preserve">Do not spread rumours about colleagues or the Company.</w:t>
      </w:r>
    </w:p>
    <w:p>
      <w:pPr>
        <w:pStyle w:val="Heading1"/>
        <w:keepNext/>
        <w:spacing w:after="120" w:before="280"/>
      </w:pPr>
      <w:r>
        <w:rPr>
          <w:rFonts w:ascii="Calibri" w:cs="Calibri" w:eastAsia="Calibri" w:hAnsi="Calibri"/>
          <w:b/>
          <w:bCs/>
          <w:color w:val="1F3864"/>
          <w:sz w:val="28"/>
          <w:szCs w:val="28"/>
        </w:rPr>
        <w:t xml:space="preserve">3. Dress Code</w:t>
      </w:r>
    </w:p>
    <w:p>
      <w:pPr>
        <w:spacing w:after="100" w:line="276"/>
      </w:pPr>
      <w:r>
        <w:rPr>
          <w:rFonts w:ascii="Calibri" w:cs="Calibri" w:eastAsia="Calibri" w:hAnsi="Calibri"/>
          <w:sz w:val="21"/>
          <w:szCs w:val="21"/>
        </w:rPr>
        <w:t xml:space="preserve">Business casual attire is expected in the office on all days. Formal business attire is expected when meeting clients or senior visitors. Clothing must be neat, and must not carry offensive slogans or images. Employees may wear cultural and religious attire.</w:t>
      </w:r>
    </w:p>
    <w:p>
      <w:pPr>
        <w:pStyle w:val="Heading1"/>
        <w:keepNext/>
        <w:spacing w:after="120" w:before="280"/>
      </w:pPr>
      <w:r>
        <w:rPr>
          <w:rFonts w:ascii="Calibri" w:cs="Calibri" w:eastAsia="Calibri" w:hAnsi="Calibri"/>
          <w:b/>
          <w:bCs/>
          <w:color w:val="1F3864"/>
          <w:sz w:val="28"/>
          <w:szCs w:val="28"/>
        </w:rPr>
        <w:t xml:space="preserve">4. Conflict of Interest</w:t>
      </w:r>
    </w:p>
    <w:p>
      <w:pPr>
        <w:pStyle w:val="ListParagraph"/>
        <w:numPr>
          <w:ilvl w:val="0"/>
          <w:numId w:val="2"/>
        </w:numPr>
        <w:spacing w:after="60" w:line="276"/>
      </w:pPr>
      <w:r>
        <w:rPr>
          <w:rFonts w:ascii="Calibri" w:cs="Calibri" w:eastAsia="Calibri" w:hAnsi="Calibri"/>
          <w:sz w:val="21"/>
          <w:szCs w:val="21"/>
        </w:rPr>
        <w:t xml:space="preserve">Disclose in writing to your manager and HRBP any situation where your personal interest could affect your work, such as a relative working for a vendor or competitor, or a financial interest in a supplier.</w:t>
      </w:r>
    </w:p>
    <w:p>
      <w:pPr>
        <w:pStyle w:val="ListParagraph"/>
        <w:numPr>
          <w:ilvl w:val="0"/>
          <w:numId w:val="2"/>
        </w:numPr>
        <w:spacing w:after="60" w:line="276"/>
      </w:pPr>
      <w:r>
        <w:rPr>
          <w:rFonts w:ascii="Calibri" w:cs="Calibri" w:eastAsia="Calibri" w:hAnsi="Calibri"/>
          <w:sz w:val="21"/>
          <w:szCs w:val="21"/>
        </w:rPr>
        <w:t xml:space="preserve">Submit the annual conflict-of-interest declaration on the portal every April.</w:t>
      </w:r>
    </w:p>
    <w:p>
      <w:pPr>
        <w:pStyle w:val="ListParagraph"/>
        <w:numPr>
          <w:ilvl w:val="0"/>
          <w:numId w:val="2"/>
        </w:numPr>
        <w:spacing w:after="60" w:line="276"/>
      </w:pPr>
      <w:r>
        <w:rPr>
          <w:rFonts w:ascii="Calibri" w:cs="Calibri" w:eastAsia="Calibri" w:hAnsi="Calibri"/>
          <w:sz w:val="21"/>
          <w:szCs w:val="21"/>
        </w:rPr>
        <w:t xml:space="preserve">If a relative or partner works in your reporting line, inform HR so that reporting arrangements can be changed.</w:t>
      </w:r>
    </w:p>
    <w:p>
      <w:pPr>
        <w:pStyle w:val="Heading1"/>
        <w:keepNext/>
        <w:spacing w:after="120" w:before="280"/>
      </w:pPr>
      <w:r>
        <w:rPr>
          <w:rFonts w:ascii="Calibri" w:cs="Calibri" w:eastAsia="Calibri" w:hAnsi="Calibri"/>
          <w:b/>
          <w:bCs/>
          <w:color w:val="1F3864"/>
          <w:sz w:val="28"/>
          <w:szCs w:val="28"/>
        </w:rPr>
        <w:t xml:space="preserve">5. Gifts, Bribery and Corruption</w:t>
      </w:r>
    </w:p>
    <w:p>
      <w:pPr>
        <w:pStyle w:val="ListParagraph"/>
        <w:numPr>
          <w:ilvl w:val="0"/>
          <w:numId w:val="2"/>
        </w:numPr>
        <w:spacing w:after="60" w:line="276"/>
      </w:pPr>
      <w:r>
        <w:rPr>
          <w:rFonts w:ascii="Calibri" w:cs="Calibri" w:eastAsia="Calibri" w:hAnsi="Calibri"/>
          <w:sz w:val="21"/>
          <w:szCs w:val="21"/>
        </w:rPr>
        <w:t xml:space="preserve">Never offer, give, ask for or accept a bribe, kickback or any improper payment.</w:t>
      </w:r>
    </w:p>
    <w:p>
      <w:pPr>
        <w:pStyle w:val="ListParagraph"/>
        <w:numPr>
          <w:ilvl w:val="0"/>
          <w:numId w:val="2"/>
        </w:numPr>
        <w:spacing w:after="60" w:line="276"/>
      </w:pPr>
      <w:r>
        <w:rPr>
          <w:rFonts w:ascii="Calibri" w:cs="Calibri" w:eastAsia="Calibri" w:hAnsi="Calibri"/>
          <w:sz w:val="21"/>
          <w:szCs w:val="21"/>
        </w:rPr>
        <w:t xml:space="preserve">You may accept occasional gifts or hospitality worth up to </w:t>
      </w:r>
      <w:r>
        <w:rPr>
          <w:rFonts w:ascii="Calibri" w:cs="Calibri" w:eastAsia="Calibri" w:hAnsi="Calibri"/>
          <w:b/>
          <w:bCs/>
          <w:sz w:val="21"/>
          <w:szCs w:val="21"/>
        </w:rPr>
        <w:t xml:space="preserve">Rs. 2,500</w:t>
      </w:r>
      <w:r>
        <w:rPr>
          <w:rFonts w:ascii="Calibri" w:cs="Calibri" w:eastAsia="Calibri" w:hAnsi="Calibri"/>
          <w:sz w:val="21"/>
          <w:szCs w:val="21"/>
        </w:rPr>
        <w:t xml:space="preserve"> per giver per year. Anything above that must be declared to the manager and HRBP, and may have to be returned or handed over to the Company.</w:t>
      </w:r>
    </w:p>
    <w:p>
      <w:pPr>
        <w:pStyle w:val="ListParagraph"/>
        <w:numPr>
          <w:ilvl w:val="0"/>
          <w:numId w:val="2"/>
        </w:numPr>
        <w:spacing w:after="60" w:line="276"/>
      </w:pPr>
      <w:r>
        <w:rPr>
          <w:rFonts w:ascii="Calibri" w:cs="Calibri" w:eastAsia="Calibri" w:hAnsi="Calibri"/>
          <w:sz w:val="21"/>
          <w:szCs w:val="21"/>
        </w:rPr>
        <w:t xml:space="preserve">Never accept cash or cash equivalents (for example, gift cards that can be converted to cash) from vendors or clients.</w:t>
      </w:r>
    </w:p>
    <w:p>
      <w:pPr>
        <w:pStyle w:val="ListParagraph"/>
        <w:numPr>
          <w:ilvl w:val="0"/>
          <w:numId w:val="2"/>
        </w:numPr>
        <w:spacing w:after="60" w:line="276"/>
      </w:pPr>
      <w:r>
        <w:rPr>
          <w:rFonts w:ascii="Calibri" w:cs="Calibri" w:eastAsia="Calibri" w:hAnsi="Calibri"/>
          <w:sz w:val="21"/>
          <w:szCs w:val="21"/>
        </w:rPr>
        <w:t xml:space="preserve">Gifts to government officials are not permitted without written approval from Legal.</w:t>
      </w:r>
    </w:p>
    <w:p>
      <w:pPr>
        <w:pStyle w:val="Heading1"/>
        <w:keepNext/>
        <w:spacing w:after="120" w:before="280"/>
      </w:pPr>
      <w:r>
        <w:rPr>
          <w:rFonts w:ascii="Calibri" w:cs="Calibri" w:eastAsia="Calibri" w:hAnsi="Calibri"/>
          <w:b/>
          <w:bCs/>
          <w:color w:val="1F3864"/>
          <w:sz w:val="28"/>
          <w:szCs w:val="28"/>
        </w:rPr>
        <w:t xml:space="preserve">6. Outside Work and Moonlighting</w:t>
      </w:r>
    </w:p>
    <w:p>
      <w:pPr>
        <w:pStyle w:val="ListParagraph"/>
        <w:numPr>
          <w:ilvl w:val="0"/>
          <w:numId w:val="2"/>
        </w:numPr>
        <w:spacing w:after="60" w:line="276"/>
      </w:pPr>
      <w:r>
        <w:rPr>
          <w:rFonts w:ascii="Calibri" w:cs="Calibri" w:eastAsia="Calibri" w:hAnsi="Calibri"/>
          <w:sz w:val="21"/>
          <w:szCs w:val="21"/>
        </w:rPr>
        <w:t xml:space="preserve">Working for another employer, running a business that competes with Northbridge, or taking paid freelance work during your employment is </w:t>
      </w:r>
      <w:r>
        <w:rPr>
          <w:rFonts w:ascii="Calibri" w:cs="Calibri" w:eastAsia="Calibri" w:hAnsi="Calibri"/>
          <w:b/>
          <w:bCs/>
          <w:sz w:val="21"/>
          <w:szCs w:val="21"/>
        </w:rPr>
        <w:t xml:space="preserve">not allowed</w:t>
      </w:r>
      <w:r>
        <w:rPr>
          <w:rFonts w:ascii="Calibri" w:cs="Calibri" w:eastAsia="Calibri" w:hAnsi="Calibri"/>
          <w:sz w:val="21"/>
          <w:szCs w:val="21"/>
        </w:rPr>
        <w:t xml:space="preserve"> without written approval from the Head of HR.</w:t>
      </w:r>
    </w:p>
    <w:p>
      <w:pPr>
        <w:pStyle w:val="ListParagraph"/>
        <w:numPr>
          <w:ilvl w:val="0"/>
          <w:numId w:val="2"/>
        </w:numPr>
        <w:spacing w:after="60" w:line="276"/>
      </w:pPr>
      <w:r>
        <w:rPr>
          <w:rFonts w:ascii="Calibri" w:cs="Calibri" w:eastAsia="Calibri" w:hAnsi="Calibri"/>
          <w:sz w:val="21"/>
          <w:szCs w:val="21"/>
        </w:rPr>
        <w:t xml:space="preserve">Unpaid volunteering, teaching, writing and similar activities that do not conflict with your work or use Company time and resources are allowed, but inform your manager.</w:t>
      </w:r>
    </w:p>
    <w:p>
      <w:pPr>
        <w:pStyle w:val="Heading1"/>
        <w:keepNext/>
        <w:spacing w:after="120" w:before="280"/>
      </w:pPr>
      <w:r>
        <w:rPr>
          <w:rFonts w:ascii="Calibri" w:cs="Calibri" w:eastAsia="Calibri" w:hAnsi="Calibri"/>
          <w:b/>
          <w:bCs/>
          <w:color w:val="1F3864"/>
          <w:sz w:val="28"/>
          <w:szCs w:val="28"/>
        </w:rPr>
        <w:t xml:space="preserve">7. Confidentiality and Data Protection</w:t>
      </w:r>
    </w:p>
    <w:p>
      <w:pPr>
        <w:pStyle w:val="ListParagraph"/>
        <w:numPr>
          <w:ilvl w:val="0"/>
          <w:numId w:val="2"/>
        </w:numPr>
        <w:spacing w:after="60" w:line="276"/>
      </w:pPr>
      <w:r>
        <w:rPr>
          <w:rFonts w:ascii="Calibri" w:cs="Calibri" w:eastAsia="Calibri" w:hAnsi="Calibri"/>
          <w:sz w:val="21"/>
          <w:szCs w:val="21"/>
        </w:rPr>
        <w:t xml:space="preserve">Protect confidential information about the Company, customers, vendors and colleagues, during employment and after leaving.</w:t>
      </w:r>
    </w:p>
    <w:p>
      <w:pPr>
        <w:pStyle w:val="ListParagraph"/>
        <w:numPr>
          <w:ilvl w:val="0"/>
          <w:numId w:val="2"/>
        </w:numPr>
        <w:spacing w:after="60" w:line="276"/>
      </w:pPr>
      <w:r>
        <w:rPr>
          <w:rFonts w:ascii="Calibri" w:cs="Calibri" w:eastAsia="Calibri" w:hAnsi="Calibri"/>
          <w:sz w:val="21"/>
          <w:szCs w:val="21"/>
        </w:rPr>
        <w:t xml:space="preserve">Employee personal data (salary, performance, medical, contact details) can be accessed only by authorised people for a valid purpose.</w:t>
      </w:r>
    </w:p>
    <w:p>
      <w:pPr>
        <w:pStyle w:val="ListParagraph"/>
        <w:numPr>
          <w:ilvl w:val="0"/>
          <w:numId w:val="2"/>
        </w:numPr>
        <w:spacing w:after="60" w:line="276"/>
      </w:pPr>
      <w:r>
        <w:rPr>
          <w:rFonts w:ascii="Calibri" w:cs="Calibri" w:eastAsia="Calibri" w:hAnsi="Calibri"/>
          <w:sz w:val="21"/>
          <w:szCs w:val="21"/>
        </w:rPr>
        <w:t xml:space="preserve">Do not forward Company documents to personal email or cloud accounts. Report suspected data leaks to the IT Security team immediately.</w:t>
      </w:r>
    </w:p>
    <w:p>
      <w:pPr>
        <w:pStyle w:val="Heading1"/>
        <w:keepNext/>
        <w:spacing w:after="120" w:before="280"/>
      </w:pPr>
      <w:r>
        <w:rPr>
          <w:rFonts w:ascii="Calibri" w:cs="Calibri" w:eastAsia="Calibri" w:hAnsi="Calibri"/>
          <w:b/>
          <w:bCs/>
          <w:color w:val="1F3864"/>
          <w:sz w:val="28"/>
          <w:szCs w:val="28"/>
        </w:rPr>
        <w:t xml:space="preserve">8. Use of AI Tools</w:t>
      </w:r>
    </w:p>
    <w:p>
      <w:pPr>
        <w:pStyle w:val="ListParagraph"/>
        <w:numPr>
          <w:ilvl w:val="0"/>
          <w:numId w:val="2"/>
        </w:numPr>
        <w:spacing w:after="60" w:line="276"/>
      </w:pPr>
      <w:r>
        <w:rPr>
          <w:rFonts w:ascii="Calibri" w:cs="Calibri" w:eastAsia="Calibri" w:hAnsi="Calibri"/>
          <w:sz w:val="21"/>
          <w:szCs w:val="21"/>
        </w:rPr>
        <w:t xml:space="preserve">Use only AI tools approved by the Company for work.</w:t>
      </w:r>
    </w:p>
    <w:p>
      <w:pPr>
        <w:pStyle w:val="ListParagraph"/>
        <w:numPr>
          <w:ilvl w:val="0"/>
          <w:numId w:val="2"/>
        </w:numPr>
        <w:spacing w:after="60" w:line="276"/>
      </w:pPr>
      <w:r>
        <w:rPr>
          <w:rFonts w:ascii="Calibri" w:cs="Calibri" w:eastAsia="Calibri" w:hAnsi="Calibri"/>
          <w:sz w:val="21"/>
          <w:szCs w:val="21"/>
        </w:rPr>
        <w:t xml:space="preserve">Do not enter confidential, customer or personal employee data into public AI tools.</w:t>
      </w:r>
    </w:p>
    <w:p>
      <w:pPr>
        <w:pStyle w:val="ListParagraph"/>
        <w:numPr>
          <w:ilvl w:val="0"/>
          <w:numId w:val="2"/>
        </w:numPr>
        <w:spacing w:after="60" w:line="276"/>
      </w:pPr>
      <w:r>
        <w:rPr>
          <w:rFonts w:ascii="Calibri" w:cs="Calibri" w:eastAsia="Calibri" w:hAnsi="Calibri"/>
          <w:sz w:val="21"/>
          <w:szCs w:val="21"/>
        </w:rPr>
        <w:t xml:space="preserve">You remain responsible for checking the accuracy of any AI-generated work you use.</w:t>
      </w:r>
    </w:p>
    <w:p>
      <w:pPr>
        <w:pStyle w:val="Heading1"/>
        <w:keepNext/>
        <w:spacing w:after="120" w:before="280"/>
      </w:pPr>
      <w:r>
        <w:rPr>
          <w:rFonts w:ascii="Calibri" w:cs="Calibri" w:eastAsia="Calibri" w:hAnsi="Calibri"/>
          <w:b/>
          <w:bCs/>
          <w:color w:val="1F3864"/>
          <w:sz w:val="28"/>
          <w:szCs w:val="28"/>
        </w:rPr>
        <w:t xml:space="preserve">9. Social Media</w:t>
      </w:r>
    </w:p>
    <w:p>
      <w:pPr>
        <w:pStyle w:val="ListParagraph"/>
        <w:numPr>
          <w:ilvl w:val="0"/>
          <w:numId w:val="2"/>
        </w:numPr>
        <w:spacing w:after="60" w:line="276"/>
      </w:pPr>
      <w:r>
        <w:rPr>
          <w:rFonts w:ascii="Calibri" w:cs="Calibri" w:eastAsia="Calibri" w:hAnsi="Calibri"/>
          <w:sz w:val="21"/>
          <w:szCs w:val="21"/>
        </w:rPr>
        <w:t xml:space="preserve">Do not speak on behalf of the Company on social media unless authorised.</w:t>
      </w:r>
    </w:p>
    <w:p>
      <w:pPr>
        <w:pStyle w:val="ListParagraph"/>
        <w:numPr>
          <w:ilvl w:val="0"/>
          <w:numId w:val="2"/>
        </w:numPr>
        <w:spacing w:after="60" w:line="276"/>
      </w:pPr>
      <w:r>
        <w:rPr>
          <w:rFonts w:ascii="Calibri" w:cs="Calibri" w:eastAsia="Calibri" w:hAnsi="Calibri"/>
          <w:sz w:val="21"/>
          <w:szCs w:val="21"/>
        </w:rPr>
        <w:t xml:space="preserve">Do not post confidential information, internal screenshots, or comments that harm colleagues or the Company.</w:t>
      </w:r>
    </w:p>
    <w:p>
      <w:pPr>
        <w:pStyle w:val="ListParagraph"/>
        <w:numPr>
          <w:ilvl w:val="0"/>
          <w:numId w:val="2"/>
        </w:numPr>
        <w:spacing w:after="60" w:line="276"/>
      </w:pPr>
      <w:r>
        <w:rPr>
          <w:rFonts w:ascii="Calibri" w:cs="Calibri" w:eastAsia="Calibri" w:hAnsi="Calibri"/>
          <w:sz w:val="21"/>
          <w:szCs w:val="21"/>
        </w:rPr>
        <w:t xml:space="preserve">State clearly that views are personal if you mention your employer in a personal post.</w:t>
      </w:r>
    </w:p>
    <w:p>
      <w:pPr>
        <w:pStyle w:val="Heading1"/>
        <w:keepNext/>
        <w:spacing w:after="120" w:before="280"/>
      </w:pPr>
      <w:r>
        <w:rPr>
          <w:rFonts w:ascii="Calibri" w:cs="Calibri" w:eastAsia="Calibri" w:hAnsi="Calibri"/>
          <w:b/>
          <w:bCs/>
          <w:color w:val="1F3864"/>
          <w:sz w:val="28"/>
          <w:szCs w:val="28"/>
        </w:rPr>
        <w:t xml:space="preserve">10. Company Assets</w:t>
      </w:r>
    </w:p>
    <w:p>
      <w:pPr>
        <w:spacing w:after="100" w:line="276"/>
      </w:pPr>
      <w:r>
        <w:rPr>
          <w:rFonts w:ascii="Calibri" w:cs="Calibri" w:eastAsia="Calibri" w:hAnsi="Calibri"/>
          <w:sz w:val="21"/>
          <w:szCs w:val="21"/>
        </w:rPr>
        <w:t xml:space="preserve">Laptops, phones, ID cards and software are for business use. Occasional light personal use is fine. Lost or damaged assets must be reported to IT within 24 hours. Assets must be returned at exit.</w:t>
      </w:r>
    </w:p>
    <w:p>
      <w:pPr>
        <w:pStyle w:val="Heading1"/>
        <w:keepNext/>
        <w:spacing w:after="120" w:before="280"/>
      </w:pPr>
      <w:r>
        <w:rPr>
          <w:rFonts w:ascii="Calibri" w:cs="Calibri" w:eastAsia="Calibri" w:hAnsi="Calibri"/>
          <w:b/>
          <w:bCs/>
          <w:color w:val="1F3864"/>
          <w:sz w:val="28"/>
          <w:szCs w:val="28"/>
        </w:rPr>
        <w:t xml:space="preserve">11. Substances and Workplace Safety</w:t>
      </w:r>
    </w:p>
    <w:p>
      <w:pPr>
        <w:spacing w:after="100" w:line="276"/>
      </w:pPr>
      <w:r>
        <w:rPr>
          <w:rFonts w:ascii="Calibri" w:cs="Calibri" w:eastAsia="Calibri" w:hAnsi="Calibri"/>
          <w:sz w:val="21"/>
          <w:szCs w:val="21"/>
        </w:rPr>
        <w:t xml:space="preserve">Working under the influence of alcohol or drugs, or possessing illegal substances at the workplace, is gross misconduct. Weapons are not allowed on Company premises. Alcohol may be served at approved Company events only, and moderation is expected.</w:t>
      </w:r>
    </w:p>
    <w:p>
      <w:pPr>
        <w:pStyle w:val="Heading1"/>
        <w:keepNext/>
        <w:spacing w:after="120" w:before="280"/>
      </w:pPr>
      <w:r>
        <w:rPr>
          <w:rFonts w:ascii="Calibri" w:cs="Calibri" w:eastAsia="Calibri" w:hAnsi="Calibri"/>
          <w:b/>
          <w:bCs/>
          <w:color w:val="1F3864"/>
          <w:sz w:val="28"/>
          <w:szCs w:val="28"/>
        </w:rPr>
        <w:t xml:space="preserve">12. Reporting Concerns and Whistleblower Protection</w:t>
      </w:r>
    </w:p>
    <w:p>
      <w:pPr>
        <w:pStyle w:val="ListParagraph"/>
        <w:numPr>
          <w:ilvl w:val="0"/>
          <w:numId w:val="2"/>
        </w:numPr>
        <w:spacing w:after="60" w:line="276"/>
      </w:pPr>
      <w:r>
        <w:rPr>
          <w:rFonts w:ascii="Calibri" w:cs="Calibri" w:eastAsia="Calibri" w:hAnsi="Calibri"/>
          <w:sz w:val="21"/>
          <w:szCs w:val="21"/>
        </w:rPr>
        <w:t xml:space="preserve">If you see something that breaks this Code or the law, report it to your manager, HRBP, ethics@northbridge.example, or the anonymous ethics hotline on the portal (24x7, run by an external vendor).</w:t>
      </w:r>
    </w:p>
    <w:p>
      <w:pPr>
        <w:pStyle w:val="ListParagraph"/>
        <w:numPr>
          <w:ilvl w:val="0"/>
          <w:numId w:val="2"/>
        </w:numPr>
        <w:spacing w:after="60" w:line="276"/>
      </w:pPr>
      <w:r>
        <w:rPr>
          <w:rFonts w:ascii="Calibri" w:cs="Calibri" w:eastAsia="Calibri" w:hAnsi="Calibri"/>
          <w:sz w:val="21"/>
          <w:szCs w:val="21"/>
        </w:rPr>
        <w:t xml:space="preserve">Reports made in good faith are protected. Retaliation against someone who reports a concern is gross misconduct.</w:t>
      </w:r>
    </w:p>
    <w:p>
      <w:pPr>
        <w:pStyle w:val="Heading1"/>
        <w:keepNext/>
        <w:spacing w:after="120" w:before="280"/>
      </w:pPr>
      <w:r>
        <w:rPr>
          <w:rFonts w:ascii="Calibri" w:cs="Calibri" w:eastAsia="Calibri" w:hAnsi="Calibri"/>
          <w:b/>
          <w:bCs/>
          <w:color w:val="1F3864"/>
          <w:sz w:val="28"/>
          <w:szCs w:val="28"/>
        </w:rPr>
        <w:t xml:space="preserve">13. Consequences of Breach</w:t>
      </w:r>
    </w:p>
    <w:p>
      <w:pPr>
        <w:spacing w:after="100" w:line="276"/>
      </w:pPr>
      <w:r>
        <w:rPr>
          <w:rFonts w:ascii="Calibri" w:cs="Calibri" w:eastAsia="Calibri" w:hAnsi="Calibri"/>
          <w:sz w:val="21"/>
          <w:szCs w:val="21"/>
        </w:rPr>
        <w:t xml:space="preserve">Breaches of this Code lead to action under HR-10 Grievance Redressal and Disciplinary Procedure, up to and including termination of employment and legal action.</w:t>
      </w:r>
    </w:p>
    <w:p>
      <w:pPr>
        <w:pStyle w:val="Heading1"/>
        <w:keepNext/>
        <w:spacing w:after="120" w:before="280"/>
      </w:pPr>
      <w:r>
        <w:rPr>
          <w:rFonts w:ascii="Calibri" w:cs="Calibri" w:eastAsia="Calibri" w:hAnsi="Calibri"/>
          <w:b/>
          <w:bCs/>
          <w:color w:val="1F3864"/>
          <w:sz w:val="28"/>
          <w:szCs w:val="28"/>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26"/>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Version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Date</w:t>
            </w:r>
          </w:p>
        </w:tc>
        <w:tc>
          <w:tcPr>
            <w:tcW w:type="dxa" w:w="5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January 2026</w:t>
            </w:r>
          </w:p>
        </w:tc>
        <w:tc>
          <w:tcPr>
            <w:tcW w:type="dxa" w:w="5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Annual review and update. Fictional policy created for demonstration of the HR helpdesk chatbot.</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Northbridge Dynamics Pvt. Ltd. (fictional company)  |  Page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of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HR-04  |  Code of Conduct and Ethics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Conduct and Ethics</dc:title>
  <dc:creator>Northbridge Dynamics HR</dc:creator>
  <cp:lastModifiedBy>Un-named</cp:lastModifiedBy>
  <cp:revision>1</cp:revision>
  <dcterms:created xsi:type="dcterms:W3CDTF">2026-10-03T05:14:18.683Z</dcterms:created>
  <dcterms:modified xsi:type="dcterms:W3CDTF">2026-10-03T05:14:18.683Z</dcterms:modified>
</cp:coreProperties>
</file>

<file path=docProps/custom.xml><?xml version="1.0" encoding="utf-8"?>
<Properties xmlns="http://schemas.openxmlformats.org/officeDocument/2006/custom-properties" xmlns:vt="http://schemas.openxmlformats.org/officeDocument/2006/docPropsVTypes"/>
</file>