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F7F7F"/>
          <w:sz w:val="20"/>
          <w:szCs w:val="20"/>
        </w:rPr>
        <w:t xml:space="preserve">NORTHBRIDGE DYNAMICS PVT. LTD.</w:t>
      </w:r>
    </w:p>
    <w:p>
      <w:pPr>
        <w:pBdr>
          <w:bottom w:val="single" w:color="1F3864" w:sz="12" w:space="4"/>
        </w:pBdr>
        <w:spacing w:after="160"/>
      </w:pPr>
      <w:r>
        <w:rPr>
          <w:rFonts w:ascii="Calibri" w:cs="Calibri" w:eastAsia="Calibri" w:hAnsi="Calibri"/>
          <w:b/>
          <w:bCs/>
          <w:color w:val="1F3864"/>
          <w:sz w:val="40"/>
          <w:szCs w:val="40"/>
        </w:rPr>
        <w:t xml:space="preserve">Learning and Development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Document detail</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Information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Document 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Effective 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January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Policy owner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Learning and Development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Approved by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Chief People Officer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Applies to</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confirmed employees, unless stated otherwise</w:t>
            </w:r>
          </w:p>
        </w:tc>
      </w:tr>
    </w:tbl>
    <w:p>
      <w:pPr>
        <w:spacing w:after="120"/>
      </w:pPr>
    </w:p>
    <w:p>
      <w:pPr>
        <w:pStyle w:val="Heading1"/>
        <w:keepNext/>
        <w:spacing w:after="120" w:before="280"/>
      </w:pPr>
      <w:r>
        <w:rPr>
          <w:rFonts w:ascii="Calibri" w:cs="Calibri" w:eastAsia="Calibri" w:hAnsi="Calibri"/>
          <w:b/>
          <w:bCs/>
          <w:color w:val="1F3864"/>
          <w:sz w:val="28"/>
          <w:szCs w:val="28"/>
        </w:rPr>
        <w:t xml:space="preserve">1. Purpose</w:t>
      </w:r>
    </w:p>
    <w:p>
      <w:pPr>
        <w:spacing w:after="100" w:line="276"/>
      </w:pPr>
      <w:r>
        <w:rPr>
          <w:rFonts w:ascii="Calibri" w:cs="Calibri" w:eastAsia="Calibri" w:hAnsi="Calibri"/>
          <w:sz w:val="21"/>
          <w:szCs w:val="21"/>
        </w:rPr>
        <w:t xml:space="preserve">This policy supports employees to build skills for their current role and next career steps.</w:t>
      </w:r>
    </w:p>
    <w:p>
      <w:pPr>
        <w:pStyle w:val="Heading1"/>
        <w:keepNext/>
        <w:spacing w:after="120" w:before="280"/>
      </w:pPr>
      <w:r>
        <w:rPr>
          <w:rFonts w:ascii="Calibri" w:cs="Calibri" w:eastAsia="Calibri" w:hAnsi="Calibri"/>
          <w:b/>
          <w:bCs/>
          <w:color w:val="1F3864"/>
          <w:sz w:val="28"/>
          <w:szCs w:val="28"/>
        </w:rPr>
        <w:t xml:space="preserve">2. Learning Hours and Mandatory Training</w:t>
      </w:r>
    </w:p>
    <w:p>
      <w:pPr>
        <w:pStyle w:val="ListParagraph"/>
        <w:numPr>
          <w:ilvl w:val="0"/>
          <w:numId w:val="2"/>
        </w:numPr>
        <w:spacing w:after="60" w:line="276"/>
      </w:pPr>
      <w:r>
        <w:rPr>
          <w:rFonts w:ascii="Calibri" w:cs="Calibri" w:eastAsia="Calibri" w:hAnsi="Calibri"/>
          <w:sz w:val="21"/>
          <w:szCs w:val="21"/>
        </w:rPr>
        <w:t xml:space="preserve">Every employee should complete at least </w:t>
      </w:r>
      <w:r>
        <w:rPr>
          <w:rFonts w:ascii="Calibri" w:cs="Calibri" w:eastAsia="Calibri" w:hAnsi="Calibri"/>
          <w:b/>
          <w:bCs/>
          <w:sz w:val="21"/>
          <w:szCs w:val="21"/>
        </w:rPr>
        <w:t xml:space="preserve">16 learning hours</w:t>
      </w:r>
      <w:r>
        <w:rPr>
          <w:rFonts w:ascii="Calibri" w:cs="Calibri" w:eastAsia="Calibri" w:hAnsi="Calibri"/>
          <w:sz w:val="21"/>
          <w:szCs w:val="21"/>
        </w:rPr>
        <w:t xml:space="preserve"> per year.</w:t>
      </w:r>
    </w:p>
    <w:p>
      <w:pPr>
        <w:pStyle w:val="ListParagraph"/>
        <w:numPr>
          <w:ilvl w:val="0"/>
          <w:numId w:val="2"/>
        </w:numPr>
        <w:spacing w:after="60" w:line="276"/>
      </w:pPr>
      <w:r>
        <w:rPr>
          <w:rFonts w:ascii="Calibri" w:cs="Calibri" w:eastAsia="Calibri" w:hAnsi="Calibri"/>
          <w:sz w:val="21"/>
          <w:szCs w:val="21"/>
        </w:rPr>
        <w:t xml:space="preserve">Mandatory trainings: POSH awareness, Code of Conduct, and information security. New joiners must complete them within 30 days of joining; others complete them every year. Completion is a condition for performance review closure.</w:t>
      </w:r>
    </w:p>
    <w:p>
      <w:pPr>
        <w:pStyle w:val="Heading1"/>
        <w:keepNext/>
        <w:spacing w:after="120" w:before="280"/>
      </w:pPr>
      <w:r>
        <w:rPr>
          <w:rFonts w:ascii="Calibri" w:cs="Calibri" w:eastAsia="Calibri" w:hAnsi="Calibri"/>
          <w:b/>
          <w:bCs/>
          <w:color w:val="1F3864"/>
          <w:sz w:val="28"/>
          <w:szCs w:val="28"/>
        </w:rPr>
        <w:t xml:space="preserve">3. Annual Learning Budget</w:t>
      </w:r>
    </w:p>
    <w:p>
      <w:pPr>
        <w:pStyle w:val="ListParagraph"/>
        <w:numPr>
          <w:ilvl w:val="0"/>
          <w:numId w:val="2"/>
        </w:numPr>
        <w:spacing w:after="60" w:line="276"/>
      </w:pPr>
      <w:r>
        <w:rPr>
          <w:rFonts w:ascii="Calibri" w:cs="Calibri" w:eastAsia="Calibri" w:hAnsi="Calibri"/>
          <w:sz w:val="21"/>
          <w:szCs w:val="21"/>
        </w:rPr>
        <w:t xml:space="preserve">Each confirmed employee has a learning budget of </w:t>
      </w:r>
      <w:r>
        <w:rPr>
          <w:rFonts w:ascii="Calibri" w:cs="Calibri" w:eastAsia="Calibri" w:hAnsi="Calibri"/>
          <w:b/>
          <w:bCs/>
          <w:sz w:val="21"/>
          <w:szCs w:val="21"/>
        </w:rPr>
        <w:t xml:space="preserve">Rs. 25,000 per financial year</w:t>
      </w:r>
      <w:r>
        <w:rPr>
          <w:rFonts w:ascii="Calibri" w:cs="Calibri" w:eastAsia="Calibri" w:hAnsi="Calibri"/>
          <w:sz w:val="21"/>
          <w:szCs w:val="21"/>
        </w:rPr>
        <w:t xml:space="preserve"> for external courses, certifications, books and conferences related to their role.</w:t>
      </w:r>
    </w:p>
    <w:p>
      <w:pPr>
        <w:pStyle w:val="ListParagraph"/>
        <w:numPr>
          <w:ilvl w:val="0"/>
          <w:numId w:val="2"/>
        </w:numPr>
        <w:spacing w:after="60" w:line="276"/>
      </w:pPr>
      <w:r>
        <w:rPr>
          <w:rFonts w:ascii="Calibri" w:cs="Calibri" w:eastAsia="Calibri" w:hAnsi="Calibri"/>
          <w:sz w:val="21"/>
          <w:szCs w:val="21"/>
        </w:rPr>
        <w:t xml:space="preserve">The budget does not carry forward.</w:t>
      </w:r>
    </w:p>
    <w:p>
      <w:pPr>
        <w:pStyle w:val="ListParagraph"/>
        <w:numPr>
          <w:ilvl w:val="0"/>
          <w:numId w:val="2"/>
        </w:numPr>
        <w:spacing w:after="60" w:line="276"/>
      </w:pPr>
      <w:r>
        <w:rPr>
          <w:rFonts w:ascii="Calibri" w:cs="Calibri" w:eastAsia="Calibri" w:hAnsi="Calibri"/>
          <w:sz w:val="21"/>
          <w:szCs w:val="21"/>
        </w:rPr>
        <w:t xml:space="preserve">Request approval on the portal before enrolling. The manager approves, and learning@northbridge.example processes the payment or reimbursement.</w:t>
      </w:r>
    </w:p>
    <w:p>
      <w:pPr>
        <w:pStyle w:val="Heading1"/>
        <w:keepNext/>
        <w:spacing w:after="120" w:before="280"/>
      </w:pPr>
      <w:r>
        <w:rPr>
          <w:rFonts w:ascii="Calibri" w:cs="Calibri" w:eastAsia="Calibri" w:hAnsi="Calibri"/>
          <w:b/>
          <w:bCs/>
          <w:color w:val="1F3864"/>
          <w:sz w:val="28"/>
          <w:szCs w:val="28"/>
        </w:rPr>
        <w:t xml:space="preserve">4. Certifications</w:t>
      </w:r>
    </w:p>
    <w:p>
      <w:pPr>
        <w:spacing w:after="100" w:line="276"/>
      </w:pPr>
      <w:r>
        <w:rPr>
          <w:rFonts w:ascii="Calibri" w:cs="Calibri" w:eastAsia="Calibri" w:hAnsi="Calibri"/>
          <w:sz w:val="21"/>
          <w:szCs w:val="21"/>
        </w:rPr>
        <w:t xml:space="preserve">The Company pays for certifications that are relevant to your role and agreed in your development plan. Exam fees are reimbursed on a pass; a single re-attempt is covered if the first attempt fails.</w:t>
      </w:r>
    </w:p>
    <w:p>
      <w:pPr>
        <w:pStyle w:val="Heading1"/>
        <w:keepNext/>
        <w:spacing w:after="120" w:before="280"/>
      </w:pPr>
      <w:r>
        <w:rPr>
          <w:rFonts w:ascii="Calibri" w:cs="Calibri" w:eastAsia="Calibri" w:hAnsi="Calibri"/>
          <w:b/>
          <w:bCs/>
          <w:color w:val="1F3864"/>
          <w:sz w:val="28"/>
          <w:szCs w:val="28"/>
        </w:rPr>
        <w:t xml:space="preserve">5. Higher Education Assistance</w:t>
      </w:r>
    </w:p>
    <w:p>
      <w:pPr>
        <w:pStyle w:val="ListParagraph"/>
        <w:numPr>
          <w:ilvl w:val="0"/>
          <w:numId w:val="2"/>
        </w:numPr>
        <w:spacing w:after="60" w:line="276"/>
      </w:pPr>
      <w:r>
        <w:rPr>
          <w:rFonts w:ascii="Calibri" w:cs="Calibri" w:eastAsia="Calibri" w:hAnsi="Calibri"/>
          <w:sz w:val="21"/>
          <w:szCs w:val="21"/>
        </w:rPr>
        <w:t xml:space="preserve">Employees with at least 2 years of service and a rating of 3 or above can apply for part-time degree or diploma programmes related to their work.</w:t>
      </w:r>
    </w:p>
    <w:p>
      <w:pPr>
        <w:pStyle w:val="ListParagraph"/>
        <w:numPr>
          <w:ilvl w:val="0"/>
          <w:numId w:val="2"/>
        </w:numPr>
        <w:spacing w:after="60" w:line="276"/>
      </w:pPr>
      <w:r>
        <w:rPr>
          <w:rFonts w:ascii="Calibri" w:cs="Calibri" w:eastAsia="Calibri" w:hAnsi="Calibri"/>
          <w:sz w:val="21"/>
          <w:szCs w:val="21"/>
        </w:rPr>
        <w:t xml:space="preserve">The Company reimburses 50% of fees, up to </w:t>
      </w:r>
      <w:r>
        <w:rPr>
          <w:rFonts w:ascii="Calibri" w:cs="Calibri" w:eastAsia="Calibri" w:hAnsi="Calibri"/>
          <w:b/>
          <w:bCs/>
          <w:sz w:val="21"/>
          <w:szCs w:val="21"/>
        </w:rPr>
        <w:t xml:space="preserve">Rs. 1,00,000</w:t>
      </w:r>
      <w:r>
        <w:rPr>
          <w:rFonts w:ascii="Calibri" w:cs="Calibri" w:eastAsia="Calibri" w:hAnsi="Calibri"/>
          <w:sz w:val="21"/>
          <w:szCs w:val="21"/>
        </w:rPr>
        <w:t xml:space="preserve"> per programme, after each semester or year is completed.</w:t>
      </w:r>
    </w:p>
    <w:p>
      <w:pPr>
        <w:pStyle w:val="ListParagraph"/>
        <w:numPr>
          <w:ilvl w:val="0"/>
          <w:numId w:val="2"/>
        </w:numPr>
        <w:spacing w:after="60" w:line="276"/>
      </w:pPr>
      <w:r>
        <w:rPr>
          <w:rFonts w:ascii="Calibri" w:cs="Calibri" w:eastAsia="Calibri" w:hAnsi="Calibri"/>
          <w:sz w:val="21"/>
          <w:szCs w:val="21"/>
        </w:rPr>
        <w:t xml:space="preserve">A service commitment of 12 months applies after completion for programmes costing Rs. 50,000 or more. If you leave before that, the Company recovers the support in proportion to the unserved period.</w:t>
      </w:r>
    </w:p>
    <w:p>
      <w:pPr>
        <w:pStyle w:val="Heading1"/>
        <w:keepNext/>
        <w:spacing w:after="120" w:before="280"/>
      </w:pPr>
      <w:r>
        <w:rPr>
          <w:rFonts w:ascii="Calibri" w:cs="Calibri" w:eastAsia="Calibri" w:hAnsi="Calibri"/>
          <w:b/>
          <w:bCs/>
          <w:color w:val="1F3864"/>
          <w:sz w:val="28"/>
          <w:szCs w:val="28"/>
        </w:rPr>
        <w:t xml:space="preserve">6. Internal Mobility</w:t>
      </w:r>
    </w:p>
    <w:p>
      <w:pPr>
        <w:pStyle w:val="ListParagraph"/>
        <w:numPr>
          <w:ilvl w:val="0"/>
          <w:numId w:val="2"/>
        </w:numPr>
        <w:spacing w:after="60" w:line="276"/>
      </w:pPr>
      <w:r>
        <w:rPr>
          <w:rFonts w:ascii="Calibri" w:cs="Calibri" w:eastAsia="Calibri" w:hAnsi="Calibri"/>
          <w:sz w:val="21"/>
          <w:szCs w:val="21"/>
        </w:rPr>
        <w:t xml:space="preserve">Open roles are posted internally first.</w:t>
      </w:r>
    </w:p>
    <w:p>
      <w:pPr>
        <w:pStyle w:val="ListParagraph"/>
        <w:numPr>
          <w:ilvl w:val="0"/>
          <w:numId w:val="2"/>
        </w:numPr>
        <w:spacing w:after="60" w:line="276"/>
      </w:pPr>
      <w:r>
        <w:rPr>
          <w:rFonts w:ascii="Calibri" w:cs="Calibri" w:eastAsia="Calibri" w:hAnsi="Calibri"/>
          <w:sz w:val="21"/>
          <w:szCs w:val="21"/>
        </w:rPr>
        <w:t xml:space="preserve">You can apply for an internal role after </w:t>
      </w:r>
      <w:r>
        <w:rPr>
          <w:rFonts w:ascii="Calibri" w:cs="Calibri" w:eastAsia="Calibri" w:hAnsi="Calibri"/>
          <w:b/>
          <w:bCs/>
          <w:sz w:val="21"/>
          <w:szCs w:val="21"/>
        </w:rPr>
        <w:t xml:space="preserve">12 months</w:t>
      </w:r>
      <w:r>
        <w:rPr>
          <w:rFonts w:ascii="Calibri" w:cs="Calibri" w:eastAsia="Calibri" w:hAnsi="Calibri"/>
          <w:sz w:val="21"/>
          <w:szCs w:val="21"/>
        </w:rPr>
        <w:t xml:space="preserve"> in your current role with a rating of 3 or above.</w:t>
      </w:r>
    </w:p>
    <w:p>
      <w:pPr>
        <w:pStyle w:val="ListParagraph"/>
        <w:numPr>
          <w:ilvl w:val="0"/>
          <w:numId w:val="2"/>
        </w:numPr>
        <w:spacing w:after="60" w:line="276"/>
      </w:pPr>
      <w:r>
        <w:rPr>
          <w:rFonts w:ascii="Calibri" w:cs="Calibri" w:eastAsia="Calibri" w:hAnsi="Calibri"/>
          <w:sz w:val="21"/>
          <w:szCs w:val="21"/>
        </w:rPr>
        <w:t xml:space="preserve">Inform your manager when you apply. The managers of both teams agree the transfer date, usually within 60 days.</w:t>
      </w:r>
    </w:p>
    <w:p>
      <w:pPr>
        <w:pStyle w:val="Heading1"/>
        <w:keepNext/>
        <w:spacing w:after="120" w:before="280"/>
      </w:pPr>
      <w:r>
        <w:rPr>
          <w:rFonts w:ascii="Calibri" w:cs="Calibri" w:eastAsia="Calibri" w:hAnsi="Calibri"/>
          <w:b/>
          <w:bCs/>
          <w:color w:val="1F3864"/>
          <w:sz w:val="28"/>
          <w:szCs w:val="28"/>
        </w:rPr>
        <w:t xml:space="preserve">7. Mentoring</w:t>
      </w:r>
    </w:p>
    <w:p>
      <w:pPr>
        <w:spacing w:after="100" w:line="276"/>
      </w:pPr>
      <w:r>
        <w:rPr>
          <w:rFonts w:ascii="Calibri" w:cs="Calibri" w:eastAsia="Calibri" w:hAnsi="Calibri"/>
          <w:sz w:val="21"/>
          <w:szCs w:val="21"/>
        </w:rPr>
        <w:t xml:space="preserve">Employees can ask for a mentor through learning@northbridge.example. Mentors are senior employees from another team. A typical mentoring cycle is 6 months.</w:t>
      </w:r>
    </w:p>
    <w:p>
      <w:pPr>
        <w:pStyle w:val="Heading1"/>
        <w:keepNext/>
        <w:spacing w:after="120" w:before="280"/>
      </w:pPr>
      <w:r>
        <w:rPr>
          <w:rFonts w:ascii="Calibri" w:cs="Calibri" w:eastAsia="Calibri" w:hAnsi="Calibri"/>
          <w:b/>
          <w:bCs/>
          <w:color w:val="1F3864"/>
          <w:sz w:val="28"/>
          <w:szCs w:val="28"/>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Version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Date</w:t>
            </w:r>
          </w:p>
        </w:tc>
        <w:tc>
          <w:tcPr>
            <w:tcW w:type="dxa" w:w="5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January 2026</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Annual review and update. Fictional policy created for demonstration of the HR helpdesk chatbot.</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Northbridge Dynamics Pvt. Ltd. (fictional company)  |  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HR-09  |  Learning and Development Policy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Development Policy</dc:title>
  <dc:creator>Northbridge Dynamics HR</dc:creator>
  <cp:lastModifiedBy>Un-named</cp:lastModifiedBy>
  <cp:revision>1</cp:revision>
  <dcterms:created xsi:type="dcterms:W3CDTF">2026-10-03T05:14:18.865Z</dcterms:created>
  <dcterms:modified xsi:type="dcterms:W3CDTF">2026-10-03T05:14:18.865Z</dcterms:modified>
</cp:coreProperties>
</file>

<file path=docProps/custom.xml><?xml version="1.0" encoding="utf-8"?>
<Properties xmlns="http://schemas.openxmlformats.org/officeDocument/2006/custom-properties" xmlns:vt="http://schemas.openxmlformats.org/officeDocument/2006/docPropsVTypes"/>
</file>