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7F7F7F"/>
          <w:sz w:val="20"/>
          <w:szCs w:val="20"/>
        </w:rPr>
        <w:t xml:space="preserve">NORTHBRIDGE DYNAMICS PVT. LTD.</w:t>
      </w:r>
    </w:p>
    <w:p>
      <w:pPr>
        <w:pBdr>
          <w:bottom w:val="single" w:color="1F3864" w:sz="12" w:space="4"/>
        </w:pBdr>
        <w:spacing w:after="160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Separation and Exit Policy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Document detail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Information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Document ID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HR-11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Version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2.6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Effective date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 January 2026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Policy owner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HR Operations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Approved by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Chief People Officer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Applies to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All permanent employees (confirmed and on probation) of Northbridge Dynamics Pvt. Ltd. at Gurugram, Pune and Bengaluru, unless a section says otherwise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1. Purpose</w:t>
      </w:r>
    </w:p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>This policy explains how employment ends, the notice period, the exit process and the full and final settlement.</w:t>
      </w: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2. Resignation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Submit your resignation on the Northbridge People portal under "Separation". It goes to your manager and HRBP.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The resignation is accepted, and the last working day (LWD) is confirmed within 5 working days.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You may withdraw your resignation before it is accepted, or within 3 working days of acceptance with manager and HRBP agreement.</w:t>
      </w: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3. Notice Period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26"/>
      </w:tblGrid>
      <w:tr>
        <w:trPr>
          <w:tblHeader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Employee status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Notice period (either side)</w:t>
            </w:r>
          </w:p>
        </w:tc>
      </w:tr>
      <w:t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On probation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30 days</w:t>
            </w:r>
          </w:p>
        </w:tc>
      </w:tr>
      <w:t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Confirmed, bands B1 to B4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60 days</w:t>
            </w:r>
          </w:p>
        </w:tc>
      </w:tr>
      <w:t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Confirmed, bands B5 and above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90 days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Notice buy-out:</w:t>
      </w:r>
      <w:r>
        <w:rPr>
          <w:rFonts w:ascii="Calibri" w:cs="Calibri" w:eastAsia="Calibri" w:hAnsi="Calibri"/>
          <w:sz w:val="21"/>
          <w:szCs w:val="21"/>
        </w:rPr>
        <w:t xml:space="preserve"> with approval from the manager and HRBP, you can pay for the shortfall in notice days. The amount is gross salary per day x shortfall days, deducted from the full and final settlement.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Waiver:</w:t>
      </w:r>
      <w:r>
        <w:rPr>
          <w:rFonts w:ascii="Calibri" w:cs="Calibri" w:eastAsia="Calibri" w:hAnsi="Calibri"/>
          <w:sz w:val="21"/>
          <w:szCs w:val="21"/>
        </w:rPr>
        <w:t xml:space="preserve"> the Company can waive part or all of the notice period at its discretion. In that case, no recovery is made.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Leave during notice:</w:t>
      </w:r>
      <w:r>
        <w:rPr>
          <w:rFonts w:ascii="Calibri" w:cs="Calibri" w:eastAsia="Calibri" w:hAnsi="Calibri"/>
          <w:sz w:val="21"/>
          <w:szCs w:val="21"/>
        </w:rPr>
        <w:t xml:space="preserve"> leave of more than 5 days (other than medical leave with a certificate) extends the last working day by the same number of days. EL during notice needs the manager's approval.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The Company pays no notice pay to an employee who leaves without serving notice, other than as agreed in writing.</w:t>
      </w: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4. Exit Process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Knowledge transfer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 handover plan agreed with the manager within the first week of notice.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No-dues clearance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Return laptop, ID card and other assets. Clearances are required from IT, Admin, Finance and the manager on the portal.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Exit interview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Conducted by HR in the last week; feedback is confidential.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Full and final settlement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Paid within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45 days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of the last working day.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Relieving and experience letters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Issued within 7 working days after all clearances are completed and the final settlement is processed.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5. Full and Final Settlement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Payable:</w:t>
      </w:r>
      <w:r>
        <w:rPr>
          <w:rFonts w:ascii="Calibri" w:cs="Calibri" w:eastAsia="Calibri" w:hAnsi="Calibri"/>
          <w:sz w:val="21"/>
          <w:szCs w:val="21"/>
        </w:rPr>
        <w:t xml:space="preserve"> salary up to the last working day, EL encashment (up to 30 days; monthly basic divided by 30 per day), gratuity if eligible (5 years of service), and any pending reimbursements.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Recoveries:</w:t>
      </w:r>
      <w:r>
        <w:rPr>
          <w:rFonts w:ascii="Calibri" w:cs="Calibri" w:eastAsia="Calibri" w:hAnsi="Calibri"/>
          <w:sz w:val="21"/>
          <w:szCs w:val="21"/>
        </w:rPr>
        <w:t xml:space="preserve"> notice shortfall, salary advance, unreturned assets, learning support under the service commitment, and any excess leave taken.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Variable pay is paid only as per the plan rules (see HR-06).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Group health insurance and EAP end on the last working day. Ask benefits@northbridge.example about options to continue cover.</w:t>
      </w: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6. Other Types of Separation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Retirement:</w:t>
      </w:r>
      <w:r>
        <w:rPr>
          <w:rFonts w:ascii="Calibri" w:cs="Calibri" w:eastAsia="Calibri" w:hAnsi="Calibri"/>
          <w:sz w:val="21"/>
          <w:szCs w:val="21"/>
        </w:rPr>
        <w:t xml:space="preserve"> at the age of 60. Gratuity and EL encashment are paid as in the full and final settlement.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Termination for performance or redundancy:</w:t>
      </w:r>
      <w:r>
        <w:rPr>
          <w:rFonts w:ascii="Calibri" w:cs="Calibri" w:eastAsia="Calibri" w:hAnsi="Calibri"/>
          <w:sz w:val="21"/>
          <w:szCs w:val="21"/>
        </w:rPr>
        <w:t xml:space="preserve"> with notice period or pay in lieu, after HR review.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Termination for gross misconduct:</w:t>
      </w:r>
      <w:r>
        <w:rPr>
          <w:rFonts w:ascii="Calibri" w:cs="Calibri" w:eastAsia="Calibri" w:hAnsi="Calibri"/>
          <w:sz w:val="21"/>
          <w:szCs w:val="21"/>
        </w:rPr>
        <w:t xml:space="preserve"> after an inquiry under HR-10, without notice pay.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Abandonment of service:</w:t>
      </w:r>
      <w:r>
        <w:rPr>
          <w:rFonts w:ascii="Calibri" w:cs="Calibri" w:eastAsia="Calibri" w:hAnsi="Calibri"/>
          <w:sz w:val="21"/>
          <w:szCs w:val="21"/>
        </w:rPr>
        <w:t xml:space="preserve"> absence of 5 or more consecutive working days without information. The Company sends 3 notices to the registered address and email over 7 days; if there is no reply, employment is treated as ended by abandonment.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Death in service:</w:t>
      </w:r>
      <w:r>
        <w:rPr>
          <w:rFonts w:ascii="Calibri" w:cs="Calibri" w:eastAsia="Calibri" w:hAnsi="Calibri"/>
          <w:sz w:val="21"/>
          <w:szCs w:val="21"/>
        </w:rPr>
        <w:t xml:space="preserve"> pending dues, gratuity, insurance and PF are paid to the nominee.</w:t>
      </w: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7. Rehire</w:t>
      </w:r>
    </w:p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>Former employees who left in good standing can be considered for rehire after 6 months. Employees terminated for misconduct or who abandoned service are not eligible.</w:t>
      </w: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Revision History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000"/>
        <w:gridCol w:w="5726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Summary of change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2.6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 January 2026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Annual review and update. Fictional policy created for demonstration of the HR helpdesk chatbot.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3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6"/>
        <w:szCs w:val="16"/>
      </w:rPr>
      <w:t xml:space="preserve">Northbridge Dynamics Pvt. Ltd. (fictional company)  |  Page </w:t>
    </w:r>
    <w:r>
      <w:rPr>
        <w:rFonts w:ascii="Calibri" w:cs="Calibri" w:eastAsia="Calibri" w:hAnsi="Calibri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7F7F7F"/>
        <w:sz w:val="16"/>
        <w:szCs w:val="16"/>
      </w:rPr>
      <w:t xml:space="preserve"> of </w:t>
    </w:r>
    <w:r>
      <w:rPr>
        <w:rFonts w:ascii="Calibri" w:cs="Calibri" w:eastAsia="Calibri" w:hAnsi="Calibri"/>
        <w:color w:val="7F7F7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7F7F7F"/>
        <w:sz w:val="16"/>
        <w:szCs w:val="16"/>
      </w:rPr>
      <w:t xml:space="preserve">HR-11  |  Separation and Exit Policy  |  Internal use only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Separation and Exit Policy</dc:title>
  <dc:creator>Northbridge Dynamics HR</dc:creator>
  <cp:lastModifiedBy>Un-named</cp:lastModifiedBy>
  <cp:revision>1</cp:revision>
  <dcterms:created xsi:type="dcterms:W3CDTF">2026-10-03T05:14:18.923Z</dcterms:created>
  <dcterms:modified xsi:type="dcterms:W3CDTF">2026-10-03T05:14:18.923Z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