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F7F7F"/>
          <w:sz w:val="20"/>
          <w:szCs w:val="20"/>
        </w:rPr>
        <w:t xml:space="preserve">NORTHBRIDGE DYNAMICS PVT. LTD.</w:t>
      </w:r>
    </w:p>
    <w:p>
      <w:pPr>
        <w:pBdr>
          <w:bottom w:val="single" w:color="1F3864" w:sz="12" w:space="4"/>
        </w:pBdr>
        <w:spacing w:after="160"/>
      </w:pPr>
      <w:r>
        <w:rPr>
          <w:rFonts w:ascii="Calibri" w:cs="Calibri" w:eastAsia="Calibri" w:hAnsi="Calibri"/>
          <w:b/>
          <w:bCs/>
          <w:color w:val="1F3864"/>
          <w:sz w:val="40"/>
          <w:szCs w:val="40"/>
        </w:rPr>
        <w:t xml:space="preserve">HR Helpdesk and Ticket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Document detail</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Information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Document 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HR-12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Effective date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January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Policy owner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 Shared Services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Approved by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Chief People Officer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Applies to</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employees of Northbridge Dynamics Pvt. Ltd.</w:t>
            </w:r>
          </w:p>
        </w:tc>
      </w:tr>
    </w:tbl>
    <w:p>
      <w:pPr>
        <w:spacing w:after="120"/>
      </w:pPr>
    </w:p>
    <w:p>
      <w:pPr>
        <w:pStyle w:val="Heading1"/>
        <w:keepNext/>
        <w:spacing w:after="120" w:before="280"/>
      </w:pPr>
      <w:r>
        <w:rPr>
          <w:rFonts w:ascii="Calibri" w:cs="Calibri" w:eastAsia="Calibri" w:hAnsi="Calibri"/>
          <w:b/>
          <w:bCs/>
          <w:color w:val="1F3864"/>
          <w:sz w:val="28"/>
          <w:szCs w:val="28"/>
        </w:rPr>
        <w:t xml:space="preserve">1. Purpose</w:t>
      </w:r>
    </w:p>
    <w:p>
      <w:pPr>
        <w:spacing w:after="100" w:line="276"/>
      </w:pPr>
      <w:r>
        <w:rPr>
          <w:rFonts w:ascii="Calibri" w:cs="Calibri" w:eastAsia="Calibri" w:hAnsi="Calibri"/>
          <w:sz w:val="21"/>
          <w:szCs w:val="21"/>
        </w:rPr>
        <w:t xml:space="preserve">This procedure explains how employees get help from HR, including the HR helpdesk chatbot ("the bot"), and how HR tickets are raised, prioritised and resolved.</w:t>
      </w:r>
    </w:p>
    <w:p>
      <w:pPr>
        <w:pStyle w:val="Heading1"/>
        <w:keepNext/>
        <w:spacing w:after="120" w:before="280"/>
      </w:pPr>
      <w:r>
        <w:rPr>
          <w:rFonts w:ascii="Calibri" w:cs="Calibri" w:eastAsia="Calibri" w:hAnsi="Calibri"/>
          <w:b/>
          <w:bCs/>
          <w:color w:val="1F3864"/>
          <w:sz w:val="28"/>
          <w:szCs w:val="28"/>
        </w:rPr>
        <w:t xml:space="preserve">2. What the Bot Can Do</w:t>
      </w:r>
    </w:p>
    <w:p>
      <w:pPr>
        <w:pStyle w:val="ListParagraph"/>
        <w:numPr>
          <w:ilvl w:val="0"/>
          <w:numId w:val="2"/>
        </w:numPr>
        <w:spacing w:after="60" w:line="276"/>
      </w:pPr>
      <w:r>
        <w:rPr>
          <w:rFonts w:ascii="Calibri" w:cs="Calibri" w:eastAsia="Calibri" w:hAnsi="Calibri"/>
          <w:sz w:val="21"/>
          <w:szCs w:val="21"/>
        </w:rPr>
        <w:t xml:space="preserve">Answer questions about HR policies (leave, attendance, payroll, benefits, conduct, performance, exit and more) based only on the approved HR documents, and show the source policy.</w:t>
      </w:r>
    </w:p>
    <w:p>
      <w:pPr>
        <w:pStyle w:val="ListParagraph"/>
        <w:numPr>
          <w:ilvl w:val="0"/>
          <w:numId w:val="2"/>
        </w:numPr>
        <w:spacing w:after="60" w:line="276"/>
      </w:pPr>
      <w:r>
        <w:rPr>
          <w:rFonts w:ascii="Calibri" w:cs="Calibri" w:eastAsia="Calibri" w:hAnsi="Calibri"/>
          <w:sz w:val="21"/>
          <w:szCs w:val="21"/>
        </w:rPr>
        <w:t xml:space="preserve">Show an employee's own leave balance after the employee enters a valid employee ID.</w:t>
      </w:r>
    </w:p>
    <w:p>
      <w:pPr>
        <w:pStyle w:val="ListParagraph"/>
        <w:numPr>
          <w:ilvl w:val="0"/>
          <w:numId w:val="2"/>
        </w:numPr>
        <w:spacing w:after="60" w:line="276"/>
      </w:pPr>
      <w:r>
        <w:rPr>
          <w:rFonts w:ascii="Calibri" w:cs="Calibri" w:eastAsia="Calibri" w:hAnsi="Calibri"/>
          <w:sz w:val="21"/>
          <w:szCs w:val="21"/>
        </w:rPr>
        <w:t xml:space="preserve">Raise an HR ticket if it cannot answer, or if the employee asks for it.</w:t>
      </w:r>
    </w:p>
    <w:p>
      <w:pPr>
        <w:pStyle w:val="Heading1"/>
        <w:keepNext/>
        <w:spacing w:after="120" w:before="280"/>
      </w:pPr>
      <w:r>
        <w:rPr>
          <w:rFonts w:ascii="Calibri" w:cs="Calibri" w:eastAsia="Calibri" w:hAnsi="Calibri"/>
          <w:b/>
          <w:bCs/>
          <w:color w:val="1F3864"/>
          <w:sz w:val="28"/>
          <w:szCs w:val="28"/>
        </w:rPr>
        <w:t xml:space="preserve">3. What the Bot Cannot Do</w:t>
      </w:r>
    </w:p>
    <w:p>
      <w:pPr>
        <w:pStyle w:val="ListParagraph"/>
        <w:numPr>
          <w:ilvl w:val="0"/>
          <w:numId w:val="2"/>
        </w:numPr>
        <w:spacing w:after="60" w:line="276"/>
      </w:pPr>
      <w:r>
        <w:rPr>
          <w:rFonts w:ascii="Calibri" w:cs="Calibri" w:eastAsia="Calibri" w:hAnsi="Calibri"/>
          <w:sz w:val="21"/>
          <w:szCs w:val="21"/>
        </w:rPr>
        <w:t xml:space="preserve">It cannot approve leave, change records, or make exceptions to policy.</w:t>
      </w:r>
    </w:p>
    <w:p>
      <w:pPr>
        <w:pStyle w:val="ListParagraph"/>
        <w:numPr>
          <w:ilvl w:val="0"/>
          <w:numId w:val="2"/>
        </w:numPr>
        <w:spacing w:after="60" w:line="276"/>
      </w:pPr>
      <w:r>
        <w:rPr>
          <w:rFonts w:ascii="Calibri" w:cs="Calibri" w:eastAsia="Calibri" w:hAnsi="Calibri"/>
          <w:sz w:val="21"/>
          <w:szCs w:val="21"/>
        </w:rPr>
        <w:t xml:space="preserve">It cannot give legal, tax or medical advice. For tax questions, write to payroll@northbridge.example.</w:t>
      </w:r>
    </w:p>
    <w:p>
      <w:pPr>
        <w:pStyle w:val="ListParagraph"/>
        <w:numPr>
          <w:ilvl w:val="0"/>
          <w:numId w:val="2"/>
        </w:numPr>
        <w:spacing w:after="60" w:line="276"/>
      </w:pPr>
      <w:r>
        <w:rPr>
          <w:rFonts w:ascii="Calibri" w:cs="Calibri" w:eastAsia="Calibri" w:hAnsi="Calibri"/>
          <w:sz w:val="21"/>
          <w:szCs w:val="21"/>
        </w:rPr>
        <w:t xml:space="preserve">It cannot show another person's personal data, such as leave, salary or ratings.</w:t>
      </w:r>
    </w:p>
    <w:p>
      <w:pPr>
        <w:pStyle w:val="ListParagraph"/>
        <w:numPr>
          <w:ilvl w:val="0"/>
          <w:numId w:val="2"/>
        </w:numPr>
        <w:spacing w:after="60" w:line="276"/>
      </w:pPr>
      <w:r>
        <w:rPr>
          <w:rFonts w:ascii="Calibri" w:cs="Calibri" w:eastAsia="Calibri" w:hAnsi="Calibri"/>
          <w:sz w:val="21"/>
          <w:szCs w:val="21"/>
        </w:rPr>
        <w:t xml:space="preserve">It does not handle complaints of sexual harassment, abuse or personal safety. For these, it only shares the contact: icc@northbridge.example. In an emergency or crisis, contact local emergency services, or the free EAP counselling line.</w:t>
      </w:r>
    </w:p>
    <w:p>
      <w:pPr>
        <w:pStyle w:val="Heading1"/>
        <w:keepNext/>
        <w:spacing w:after="120" w:before="280"/>
      </w:pPr>
      <w:r>
        <w:rPr>
          <w:rFonts w:ascii="Calibri" w:cs="Calibri" w:eastAsia="Calibri" w:hAnsi="Calibri"/>
          <w:b/>
          <w:bCs/>
          <w:color w:val="1F3864"/>
          <w:sz w:val="28"/>
          <w:szCs w:val="28"/>
        </w:rPr>
        <w:t xml:space="preserve">4. HR 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Topic</w:t>
            </w:r>
          </w:p>
        </w:tc>
        <w:tc>
          <w:tcPr>
            <w:tcW w:type="dxa" w:w="5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Contact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General HR helpdesk</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hrhelpdesk@northbridge.example, extension 1800 (Mon-Fri, 9:30 AM - 6:00 PM IST)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Payroll and tax</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payroll@northbridge.example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Insurance and benefits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benefits@northbridge.example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Hiring and onboarding</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talent@northbridge.example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Learning and development</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learning@northbridge.example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Sexual harassment (ICC)</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icc@northbridge.example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Ethics and anonymous reports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ethics@northbridge.example or ethics hotline on the portal (24x7)</w:t>
            </w:r>
          </w:p>
        </w:tc>
      </w:tr>
    </w:tbl>
    <w:p>
      <w:pPr>
        <w:spacing w:after="120"/>
      </w:pPr>
    </w:p>
    <w:p>
      <w:pPr>
        <w:pStyle w:val="Heading1"/>
        <w:keepNext/>
        <w:spacing w:after="120" w:before="280"/>
      </w:pPr>
      <w:r>
        <w:rPr>
          <w:rFonts w:ascii="Calibri" w:cs="Calibri" w:eastAsia="Calibri" w:hAnsi="Calibri"/>
          <w:b/>
          <w:bCs/>
          <w:color w:val="1F3864"/>
          <w:sz w:val="28"/>
          <w:szCs w:val="28"/>
        </w:rPr>
        <w:t xml:space="preserve">5. Ticket Categories</w:t>
      </w:r>
    </w:p>
    <w:p>
      <w:pPr>
        <w:pStyle w:val="ListParagraph"/>
        <w:numPr>
          <w:ilvl w:val="0"/>
          <w:numId w:val="2"/>
        </w:numPr>
        <w:spacing w:after="60" w:line="276"/>
      </w:pPr>
      <w:r>
        <w:rPr>
          <w:rFonts w:ascii="Calibri" w:cs="Calibri" w:eastAsia="Calibri" w:hAnsi="Calibri"/>
          <w:sz w:val="21"/>
          <w:szCs w:val="21"/>
        </w:rPr>
        <w:t xml:space="preserve">Leave and Attendance</w:t>
      </w:r>
    </w:p>
    <w:p>
      <w:pPr>
        <w:pStyle w:val="ListParagraph"/>
        <w:numPr>
          <w:ilvl w:val="0"/>
          <w:numId w:val="2"/>
        </w:numPr>
        <w:spacing w:after="60" w:line="276"/>
      </w:pPr>
      <w:r>
        <w:rPr>
          <w:rFonts w:ascii="Calibri" w:cs="Calibri" w:eastAsia="Calibri" w:hAnsi="Calibri"/>
          <w:sz w:val="21"/>
          <w:szCs w:val="21"/>
        </w:rPr>
        <w:t xml:space="preserve">Payroll and Salary</w:t>
      </w:r>
    </w:p>
    <w:p>
      <w:pPr>
        <w:pStyle w:val="ListParagraph"/>
        <w:numPr>
          <w:ilvl w:val="0"/>
          <w:numId w:val="2"/>
        </w:numPr>
        <w:spacing w:after="60" w:line="276"/>
      </w:pPr>
      <w:r>
        <w:rPr>
          <w:rFonts w:ascii="Calibri" w:cs="Calibri" w:eastAsia="Calibri" w:hAnsi="Calibri"/>
          <w:sz w:val="21"/>
          <w:szCs w:val="21"/>
        </w:rPr>
        <w:t xml:space="preserve">Benefits and Insurance</w:t>
      </w:r>
    </w:p>
    <w:p>
      <w:pPr>
        <w:pStyle w:val="ListParagraph"/>
        <w:numPr>
          <w:ilvl w:val="0"/>
          <w:numId w:val="2"/>
        </w:numPr>
        <w:spacing w:after="60" w:line="276"/>
      </w:pPr>
      <w:r>
        <w:rPr>
          <w:rFonts w:ascii="Calibri" w:cs="Calibri" w:eastAsia="Calibri" w:hAnsi="Calibri"/>
          <w:sz w:val="21"/>
          <w:szCs w:val="21"/>
        </w:rPr>
        <w:t xml:space="preserve">Letters and Certificates</w:t>
      </w:r>
    </w:p>
    <w:p>
      <w:pPr>
        <w:pStyle w:val="ListParagraph"/>
        <w:numPr>
          <w:ilvl w:val="0"/>
          <w:numId w:val="2"/>
        </w:numPr>
        <w:spacing w:after="60" w:line="276"/>
      </w:pPr>
      <w:r>
        <w:rPr>
          <w:rFonts w:ascii="Calibri" w:cs="Calibri" w:eastAsia="Calibri" w:hAnsi="Calibri"/>
          <w:sz w:val="21"/>
          <w:szCs w:val="21"/>
        </w:rPr>
        <w:t xml:space="preserve">Onboarding and Joining</w:t>
      </w:r>
    </w:p>
    <w:p>
      <w:pPr>
        <w:pStyle w:val="ListParagraph"/>
        <w:numPr>
          <w:ilvl w:val="0"/>
          <w:numId w:val="2"/>
        </w:numPr>
        <w:spacing w:after="60" w:line="276"/>
      </w:pPr>
      <w:r>
        <w:rPr>
          <w:rFonts w:ascii="Calibri" w:cs="Calibri" w:eastAsia="Calibri" w:hAnsi="Calibri"/>
          <w:sz w:val="21"/>
          <w:szCs w:val="21"/>
        </w:rPr>
        <w:t xml:space="preserve">Performance and Promotion</w:t>
      </w:r>
    </w:p>
    <w:p>
      <w:pPr>
        <w:pStyle w:val="ListParagraph"/>
        <w:numPr>
          <w:ilvl w:val="0"/>
          <w:numId w:val="2"/>
        </w:numPr>
        <w:spacing w:after="60" w:line="276"/>
      </w:pPr>
      <w:r>
        <w:rPr>
          <w:rFonts w:ascii="Calibri" w:cs="Calibri" w:eastAsia="Calibri" w:hAnsi="Calibri"/>
          <w:sz w:val="21"/>
          <w:szCs w:val="21"/>
        </w:rPr>
        <w:t xml:space="preserve">Exit and Settlement</w:t>
      </w:r>
    </w:p>
    <w:p>
      <w:pPr>
        <w:pStyle w:val="ListParagraph"/>
        <w:numPr>
          <w:ilvl w:val="0"/>
          <w:numId w:val="2"/>
        </w:numPr>
        <w:spacing w:after="60" w:line="276"/>
      </w:pPr>
      <w:r>
        <w:rPr>
          <w:rFonts w:ascii="Calibri" w:cs="Calibri" w:eastAsia="Calibri" w:hAnsi="Calibri"/>
          <w:sz w:val="21"/>
          <w:szCs w:val="21"/>
        </w:rPr>
        <w:t xml:space="preserve">Policy Clarification</w:t>
      </w:r>
    </w:p>
    <w:p>
      <w:pPr>
        <w:pStyle w:val="ListParagraph"/>
        <w:numPr>
          <w:ilvl w:val="0"/>
          <w:numId w:val="2"/>
        </w:numPr>
        <w:spacing w:after="60" w:line="276"/>
      </w:pPr>
      <w:r>
        <w:rPr>
          <w:rFonts w:ascii="Calibri" w:cs="Calibri" w:eastAsia="Calibri" w:hAnsi="Calibri"/>
          <w:sz w:val="21"/>
          <w:szCs w:val="21"/>
        </w:rPr>
        <w:t xml:space="preserve">Grievance and Conduct</w:t>
      </w:r>
    </w:p>
    <w:p>
      <w:pPr>
        <w:pStyle w:val="ListParagraph"/>
        <w:numPr>
          <w:ilvl w:val="0"/>
          <w:numId w:val="2"/>
        </w:numPr>
        <w:spacing w:after="60" w:line="276"/>
      </w:pPr>
      <w:r>
        <w:rPr>
          <w:rFonts w:ascii="Calibri" w:cs="Calibri" w:eastAsia="Calibri" w:hAnsi="Calibri"/>
          <w:sz w:val="21"/>
          <w:szCs w:val="21"/>
        </w:rPr>
        <w:t xml:space="preserve">Other</w:t>
      </w:r>
    </w:p>
    <w:p>
      <w:pPr>
        <w:pStyle w:val="Heading1"/>
        <w:keepNext/>
        <w:spacing w:after="120" w:before="280"/>
      </w:pPr>
      <w:r>
        <w:rPr>
          <w:rFonts w:ascii="Calibri" w:cs="Calibri" w:eastAsia="Calibri" w:hAnsi="Calibri"/>
          <w:b/>
          <w:bCs/>
          <w:color w:val="1F3864"/>
          <w:sz w:val="28"/>
          <w:szCs w:val="28"/>
        </w:rPr>
        <w:t xml:space="preserve">6. Ticket Priority and Response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26"/>
        <w:gridCol w:w="2000"/>
        <w:gridCol w:w="20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Priority</w:t>
            </w:r>
          </w:p>
        </w:tc>
        <w:tc>
          <w:tcPr>
            <w:tcW w:type="dxa" w:w="3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Examples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First response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Target resolution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P1 - Urgent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Salary not credited, insurance emergency, safety or conduct concern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business hours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business day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P2 - Normal</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Leave balance mismatch, letter requests, reimbursement delay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business day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business days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P3 - Low</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Policy clarification, general suggestions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 business days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business days</w:t>
            </w:r>
          </w:p>
        </w:tc>
      </w:tr>
    </w:tbl>
    <w:p>
      <w:pPr>
        <w:spacing w:after="120"/>
      </w:pPr>
    </w:p>
    <w:p>
      <w:pPr>
        <w:spacing w:after="100" w:line="276"/>
      </w:pPr>
      <w:r>
        <w:rPr>
          <w:rFonts w:ascii="Calibri" w:cs="Calibri" w:eastAsia="Calibri" w:hAnsi="Calibri"/>
          <w:sz w:val="21"/>
          <w:szCs w:val="21"/>
        </w:rPr>
        <w:t xml:space="preserve">Business hours are Monday to Friday, 9:30 AM to 6:00 PM IST, excluding public holidays.</w:t>
      </w:r>
    </w:p>
    <w:p>
      <w:pPr>
        <w:pStyle w:val="Heading1"/>
        <w:keepNext/>
        <w:spacing w:after="120" w:before="280"/>
      </w:pPr>
      <w:r>
        <w:rPr>
          <w:rFonts w:ascii="Calibri" w:cs="Calibri" w:eastAsia="Calibri" w:hAnsi="Calibri"/>
          <w:b/>
          <w:bCs/>
          <w:color w:val="1F3864"/>
          <w:sz w:val="28"/>
          <w:szCs w:val="28"/>
        </w:rPr>
        <w:t xml:space="preserve">7. Ticket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Status</w:t>
            </w:r>
          </w:p>
        </w:tc>
        <w:tc>
          <w:tcPr>
            <w:tcW w:type="dxa" w:w="6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Open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Ticket has been raised and a ticket number issued (format HR-YYYYMMDD-NNN, for example HR-20261003-001).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 Progress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 HR team member is working on it.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Waiting for Employee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 needs more information from you. If there is no reply in 5 business days, the ticket is closed.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Resolved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 has given the answer or completed the action.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Closed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employee confirms or 3 business days pass after resolution. You can reopen within 7 days.</w:t>
            </w:r>
          </w:p>
        </w:tc>
      </w:tr>
    </w:tbl>
    <w:p>
      <w:pPr>
        <w:spacing w:after="120"/>
      </w:pPr>
    </w:p>
    <w:p>
      <w:pPr>
        <w:pStyle w:val="Heading1"/>
        <w:keepNext/>
        <w:spacing w:after="120" w:before="280"/>
      </w:pPr>
      <w:r>
        <w:rPr>
          <w:rFonts w:ascii="Calibri" w:cs="Calibri" w:eastAsia="Calibri" w:hAnsi="Calibri"/>
          <w:b/>
          <w:bCs/>
          <w:color w:val="1F3864"/>
          <w:sz w:val="28"/>
          <w:szCs w:val="28"/>
        </w:rPr>
        <w:t xml:space="preserve">8. Escalation</w:t>
      </w:r>
    </w:p>
    <w:p>
      <w:pPr>
        <w:spacing w:after="100" w:line="276"/>
      </w:pPr>
      <w:r>
        <w:rPr>
          <w:rFonts w:ascii="Calibri" w:cs="Calibri" w:eastAsia="Calibri" w:hAnsi="Calibri"/>
          <w:sz w:val="21"/>
          <w:szCs w:val="21"/>
        </w:rPr>
        <w:t xml:space="preserve">If a ticket is not responded to within its target time, it is escalated automatically to the HR Operations Lead, and after another business day to the Head of HR. Employees can also ask for an update by quoting the ticket number to hrhelpdesk@northbridge.example.</w:t>
      </w:r>
    </w:p>
    <w:p>
      <w:pPr>
        <w:pStyle w:val="Heading1"/>
        <w:keepNext/>
        <w:spacing w:after="120" w:before="280"/>
      </w:pPr>
      <w:r>
        <w:rPr>
          <w:rFonts w:ascii="Calibri" w:cs="Calibri" w:eastAsia="Calibri" w:hAnsi="Calibri"/>
          <w:b/>
          <w:bCs/>
          <w:color w:val="1F3864"/>
          <w:sz w:val="28"/>
          <w:szCs w:val="28"/>
        </w:rPr>
        <w:t xml:space="preserve">9. Data Privacy</w:t>
      </w:r>
    </w:p>
    <w:p>
      <w:pPr>
        <w:pStyle w:val="ListParagraph"/>
        <w:numPr>
          <w:ilvl w:val="0"/>
          <w:numId w:val="2"/>
        </w:numPr>
        <w:spacing w:after="60" w:line="276"/>
      </w:pPr>
      <w:r>
        <w:rPr>
          <w:rFonts w:ascii="Calibri" w:cs="Calibri" w:eastAsia="Calibri" w:hAnsi="Calibri"/>
          <w:sz w:val="21"/>
          <w:szCs w:val="21"/>
        </w:rPr>
        <w:t xml:space="preserve">Tickets contain only the information needed to resolve the matter, and are visible only to the assigned HR staff.</w:t>
      </w:r>
    </w:p>
    <w:p>
      <w:pPr>
        <w:pStyle w:val="ListParagraph"/>
        <w:numPr>
          <w:ilvl w:val="0"/>
          <w:numId w:val="2"/>
        </w:numPr>
        <w:spacing w:after="60" w:line="276"/>
      </w:pPr>
      <w:r>
        <w:rPr>
          <w:rFonts w:ascii="Calibri" w:cs="Calibri" w:eastAsia="Calibri" w:hAnsi="Calibri"/>
          <w:sz w:val="21"/>
          <w:szCs w:val="21"/>
        </w:rPr>
        <w:t xml:space="preserve">The bot stores the question, the employee ID, the time and the ticket status. Avoid sharing sensitive personal information (such as medical details or government ID numbers) in the chat.</w:t>
      </w:r>
    </w:p>
    <w:p>
      <w:pPr>
        <w:pStyle w:val="ListParagraph"/>
        <w:numPr>
          <w:ilvl w:val="0"/>
          <w:numId w:val="2"/>
        </w:numPr>
        <w:spacing w:after="60" w:line="276"/>
      </w:pPr>
      <w:r>
        <w:rPr>
          <w:rFonts w:ascii="Calibri" w:cs="Calibri" w:eastAsia="Calibri" w:hAnsi="Calibri"/>
          <w:sz w:val="21"/>
          <w:szCs w:val="21"/>
        </w:rPr>
        <w:t xml:space="preserve">Chat and ticket records are kept for 12 months.</w:t>
      </w:r>
    </w:p>
    <w:p>
      <w:pPr>
        <w:pStyle w:val="Heading1"/>
        <w:keepNext/>
        <w:spacing w:after="120" w:before="280"/>
      </w:pPr>
      <w:r>
        <w:rPr>
          <w:rFonts w:ascii="Calibri" w:cs="Calibri" w:eastAsia="Calibri" w:hAnsi="Calibri"/>
          <w:b/>
          <w:bCs/>
          <w:color w:val="1F3864"/>
          <w:sz w:val="28"/>
          <w:szCs w:val="28"/>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Version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Date</w:t>
            </w:r>
          </w:p>
        </w:tc>
        <w:tc>
          <w:tcPr>
            <w:tcW w:type="dxa" w:w="5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January 2026</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Annual review and update. Fictional policy created for demonstration of the HR helpdesk chatbot.</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Northbridge Dynamics Pvt. Ltd. (fictional company)  |  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HR-12  |  HR Helpdesk and Ticket Procedure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Helpdesk and Ticket Procedure</dc:title>
  <dc:creator>Northbridge Dynamics HR</dc:creator>
  <cp:lastModifiedBy>Un-named</cp:lastModifiedBy>
  <cp:revision>1</cp:revision>
  <dcterms:created xsi:type="dcterms:W3CDTF">2026-10-03T05:14:18.944Z</dcterms:created>
  <dcterms:modified xsi:type="dcterms:W3CDTF">2026-10-03T05:14:18.944Z</dcterms:modified>
</cp:coreProperties>
</file>

<file path=docProps/custom.xml><?xml version="1.0" encoding="utf-8"?>
<Properties xmlns="http://schemas.openxmlformats.org/officeDocument/2006/custom-properties" xmlns:vt="http://schemas.openxmlformats.org/officeDocument/2006/docPropsVTypes"/>
</file>