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Finance Department – Quarterly Summary</w:t>
      </w:r>
    </w:p>
    <w:p>
      <w:r>
        <w:t>Document ID: FIN-REP-001</w:t>
      </w:r>
    </w:p>
    <w:p>
      <w:r>
        <w:t>Quarter: Q2 FY2026</w:t>
      </w:r>
    </w:p>
    <w:p>
      <w:r>
        <w:t>Department: Finance</w:t>
      </w:r>
    </w:p>
    <w:p>
      <w:pPr>
        <w:pStyle w:val="Heading1"/>
      </w:pPr>
      <w:r>
        <w:t>Financial Highlights</w:t>
      </w:r>
    </w:p>
    <w:p>
      <w:r>
        <w:t>Revenue increased during the quarter, while operating expenses remained within the planned budget.</w:t>
      </w:r>
    </w:p>
    <w:p>
      <w:pPr>
        <w:pStyle w:val="Heading1"/>
      </w:pPr>
      <w:r>
        <w:t>Key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Q2 FY2026</w:t>
            </w:r>
          </w:p>
        </w:tc>
        <w:tc>
          <w:tcPr>
            <w:tcW w:type="dxa" w:w="2880"/>
          </w:tcPr>
          <w:p>
            <w:r>
              <w:t>Budget</w:t>
            </w:r>
          </w:p>
        </w:tc>
      </w:tr>
      <w:tr>
        <w:tc>
          <w:tcPr>
            <w:tcW w:type="dxa" w:w="2880"/>
          </w:tcPr>
          <w:p>
            <w:r>
              <w:t>Revenue</w:t>
            </w:r>
          </w:p>
        </w:tc>
        <w:tc>
          <w:tcPr>
            <w:tcW w:type="dxa" w:w="2880"/>
          </w:tcPr>
          <w:p>
            <w:r>
              <w:t>₹12.5 crore</w:t>
            </w:r>
          </w:p>
        </w:tc>
        <w:tc>
          <w:tcPr>
            <w:tcW w:type="dxa" w:w="2880"/>
          </w:tcPr>
          <w:p>
            <w:r>
              <w:t>₹12.0 crore</w:t>
            </w:r>
          </w:p>
        </w:tc>
      </w:tr>
      <w:tr>
        <w:tc>
          <w:tcPr>
            <w:tcW w:type="dxa" w:w="2880"/>
          </w:tcPr>
          <w:p>
            <w:r>
              <w:t>Operating Expense</w:t>
            </w:r>
          </w:p>
        </w:tc>
        <w:tc>
          <w:tcPr>
            <w:tcW w:type="dxa" w:w="2880"/>
          </w:tcPr>
          <w:p>
            <w:r>
              <w:t>₹7.8 crore</w:t>
            </w:r>
          </w:p>
        </w:tc>
        <w:tc>
          <w:tcPr>
            <w:tcW w:type="dxa" w:w="2880"/>
          </w:tcPr>
          <w:p>
            <w:r>
              <w:t>₹8.0 crore</w:t>
            </w:r>
          </w:p>
        </w:tc>
      </w:tr>
      <w:tr>
        <w:tc>
          <w:tcPr>
            <w:tcW w:type="dxa" w:w="2880"/>
          </w:tcPr>
          <w:p>
            <w:r>
              <w:t>Operating Profit</w:t>
            </w:r>
          </w:p>
        </w:tc>
        <w:tc>
          <w:tcPr>
            <w:tcW w:type="dxa" w:w="2880"/>
          </w:tcPr>
          <w:p>
            <w:r>
              <w:t>₹4.7 crore</w:t>
            </w:r>
          </w:p>
        </w:tc>
        <w:tc>
          <w:tcPr>
            <w:tcW w:type="dxa" w:w="2880"/>
          </w:tcPr>
          <w:p>
            <w:r>
              <w:t>₹4.0 crore</w:t>
            </w:r>
          </w:p>
        </w:tc>
      </w:tr>
    </w:tbl>
    <w:p>
      <w:pPr>
        <w:pStyle w:val="Heading1"/>
      </w:pPr>
      <w:r>
        <w:t>Management Note</w:t>
      </w:r>
    </w:p>
    <w:p>
      <w:r>
        <w:t>The finance team should continue monitoring operating expenses and working-capital requirements in the next quarter.</w:t>
      </w:r>
    </w:p>
    <w:p>
      <w:r>
        <w:t>Fictional sample created only for testing the Day 1 document-parsing pipeline.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