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Payment Terms</w:t>
      </w:r>
    </w:p>
    <w:p>
      <w:r>
        <w:t>Version 2026.1, effective 01 February 2026. Owner: Finance Controller.</w:t>
      </w:r>
    </w:p>
    <w:p>
      <w:pPr>
        <w:pStyle w:val="Heading2"/>
      </w:pPr>
      <w:r>
        <w:t>1. Standard Payment Terms</w:t>
      </w:r>
    </w:p>
    <w:p>
      <w:r>
        <w:t>Vendor invoices are paid within 45 days of receipt of a valid invoice (Net 45).</w:t>
      </w:r>
    </w:p>
    <w:p>
      <w:pPr>
        <w:pStyle w:val="Heading2"/>
      </w:pPr>
      <w:r>
        <w:t>2. Invoice Requirements</w:t>
      </w:r>
    </w:p>
    <w:p>
      <w:pPr>
        <w:pStyle w:val="ListBullet"/>
      </w:pPr>
      <w:r>
        <w:t>Invoice must quote a valid Purchase Order (PO) number.</w:t>
      </w:r>
    </w:p>
    <w:p>
      <w:pPr>
        <w:pStyle w:val="ListBullet"/>
      </w:pPr>
      <w:r>
        <w:t>Vendor GSTIN must match the vendor master record.</w:t>
      </w:r>
    </w:p>
    <w:p>
      <w:pPr>
        <w:pStyle w:val="ListBullet"/>
      </w:pPr>
      <w:r>
        <w:t>Invoices without a PO number are returned to the vendor.</w:t>
      </w:r>
    </w:p>
    <w:p>
      <w:pPr>
        <w:pStyle w:val="Heading2"/>
      </w:pPr>
      <w:r>
        <w:t>3. Bank Detail Verification</w:t>
      </w:r>
    </w:p>
    <w:p>
      <w:r>
        <w:t>Before the first payment, Finance verifies vendor bank details using a cancelled cheque and a penny-drop test.</w:t>
      </w:r>
    </w:p>
    <w:p>
      <w:pPr>
        <w:pStyle w:val="Heading2"/>
      </w:pPr>
      <w:r>
        <w:t>4. Advance Payments</w:t>
      </w:r>
    </w:p>
    <w:p>
      <w:r>
        <w:t>Advance payments are capped at 20% of the PO value and require Finance Controller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Payment Terms</dc:title>
  <dc:subject/>
  <dc:creator>NexaCore Technologies Pvt. Ltd.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