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</w:t>
      </w:r>
    </w:p>
    <w:p>
      <w:r>
        <w:t>Version 2026.1, effective 01 January 2026. Applies to all employees of NexaCore Technologies.</w:t>
      </w:r>
    </w:p>
    <w:p>
      <w:pPr>
        <w:pStyle w:val="Heading2"/>
      </w:pPr>
      <w:r>
        <w:t>1. Working Hours</w:t>
      </w:r>
    </w:p>
    <w:p>
      <w:r>
        <w:t>Standard working hours are 9:30 AM to 6:30 PM, Monday to Friday. Core collaboration hours are 11:00 AM to 4:00 PM.</w:t>
      </w:r>
    </w:p>
    <w:p>
      <w:pPr>
        <w:pStyle w:val="Heading2"/>
      </w:pPr>
      <w:r>
        <w:t>2. Probation and Confirmation</w:t>
      </w:r>
    </w:p>
    <w:p>
      <w:r>
        <w:t>New employees serve a probation period of 6 months. Confirmation is based on a performance review by the reporting manager.</w:t>
      </w:r>
    </w:p>
    <w:p>
      <w:pPr>
        <w:pStyle w:val="Heading2"/>
      </w:pPr>
      <w:r>
        <w:t>3. Notice Period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Employee 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Notice period</w:t>
            </w:r>
          </w:p>
        </w:tc>
      </w:tr>
      <w:tr>
        <w:tc>
          <w:tcPr>
            <w:tcW w:type="dxa" w:w="4320"/>
          </w:tcPr>
          <w:p>
            <w:r>
              <w:t>During probation</w:t>
            </w:r>
          </w:p>
        </w:tc>
        <w:tc>
          <w:tcPr>
            <w:tcW w:type="dxa" w:w="4320"/>
          </w:tcPr>
          <w:p>
            <w:r>
              <w:t>15 days</w:t>
            </w:r>
          </w:p>
        </w:tc>
      </w:tr>
      <w:tr>
        <w:tc>
          <w:tcPr>
            <w:tcW w:type="dxa" w:w="4320"/>
          </w:tcPr>
          <w:p>
            <w:r>
              <w:t>Confirmed employees</w:t>
            </w:r>
          </w:p>
        </w:tc>
        <w:tc>
          <w:tcPr>
            <w:tcW w:type="dxa" w:w="4320"/>
          </w:tcPr>
          <w:p>
            <w:r>
              <w:t>60 days</w:t>
            </w:r>
          </w:p>
        </w:tc>
      </w:tr>
      <w:tr>
        <w:tc>
          <w:tcPr>
            <w:tcW w:type="dxa" w:w="4320"/>
          </w:tcPr>
          <w:p>
            <w:r>
              <w:t>Managers and above</w:t>
            </w:r>
          </w:p>
        </w:tc>
        <w:tc>
          <w:tcPr>
            <w:tcW w:type="dxa" w:w="4320"/>
          </w:tcPr>
          <w:p>
            <w:r>
              <w:t>90 days</w:t>
            </w:r>
          </w:p>
        </w:tc>
      </w:tr>
    </w:tbl>
    <w:p>
      <w:pPr>
        <w:pStyle w:val="Heading2"/>
      </w:pPr>
      <w:r>
        <w:t>4. Expense Claims</w:t>
      </w:r>
    </w:p>
    <w:p>
      <w:r>
        <w:t>Employees should submit business expense claims within 45 days of incurring the expense. Please refer to the Finance Expense Reimbursement Policy for limits.</w:t>
      </w:r>
    </w:p>
    <w:p>
      <w:pPr>
        <w:pStyle w:val="Heading2"/>
      </w:pPr>
      <w:r>
        <w:t>5. Grievance Redressal</w:t>
      </w:r>
    </w:p>
    <w:p>
      <w:r>
        <w:t>An employee may raise a grievance with the HR Business Partner within 30 days of the incident. HR will acknowledge the grievance within 3 working days.</w:t>
      </w:r>
    </w:p>
    <w:p>
      <w:pPr>
        <w:pStyle w:val="Heading2"/>
      </w:pPr>
      <w:r>
        <w:t>6. Code of Conduct</w:t>
      </w:r>
    </w:p>
    <w:p>
      <w:pPr>
        <w:pStyle w:val="ListBullet"/>
      </w:pPr>
      <w:r>
        <w:t>Treat colleagues, customers and vendors with respect.</w:t>
      </w:r>
    </w:p>
    <w:p>
      <w:pPr>
        <w:pStyle w:val="ListBullet"/>
      </w:pPr>
      <w:r>
        <w:t>Declare any conflict of interest to HR in writing.</w:t>
      </w:r>
    </w:p>
    <w:p>
      <w:pPr>
        <w:pStyle w:val="ListBullet"/>
      </w:pPr>
      <w:r>
        <w:t>Gifts from vendors above INR 2,000 in value must be declined.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Handbook</dc:title>
  <dc:subject/>
  <dc:creator>NexaCore Technologies Pvt. Ltd.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