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Privacy Policy</w:t>
      </w:r>
    </w:p>
    <w:p>
      <w:r>
        <w:t>Version 2026.1, effective 01 March 2026. Owner: Data Protection Officer (DPO). Aligned with the Digital Personal Data Protection Act, 2023.</w:t>
      </w:r>
    </w:p>
    <w:p>
      <w:pPr>
        <w:pStyle w:val="Heading2"/>
      </w:pPr>
      <w:r>
        <w:t>1. Personal Data Breach</w:t>
      </w:r>
    </w:p>
    <w:p>
      <w:r>
        <w:t>Any personal data breach must be reported internally to the Data Protection Officer within 6 hours of discovery.</w:t>
      </w:r>
    </w:p>
    <w:p>
      <w:pPr>
        <w:pStyle w:val="Heading2"/>
      </w:pPr>
      <w:r>
        <w:t>2. Data Principal Requests</w:t>
      </w:r>
    </w:p>
    <w:p>
      <w:r>
        <w:t>Requests from customers to access, correct or erase their personal data must be completed within 30 days.</w:t>
      </w:r>
    </w:p>
    <w:p>
      <w:pPr>
        <w:pStyle w:val="Heading2"/>
      </w:pPr>
      <w:r>
        <w:t>3. Retention</w:t>
      </w:r>
    </w:p>
    <w:p>
      <w:r>
        <w:t>Customer personal data is retained for 3 years after account closure and then deleted or anonymised.</w:t>
      </w:r>
    </w:p>
    <w:p>
      <w:pPr>
        <w:pStyle w:val="Heading2"/>
      </w:pPr>
      <w:r>
        <w:t>4. Consent</w:t>
      </w:r>
    </w:p>
    <w:p>
      <w:r>
        <w:t>Marketing communication is sent only to customers who have given explicit opt-in consent.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Privacy Policy</dc:title>
  <dc:subject/>
  <dc:creator>NexaCore Technologies Pvt.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