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Non-Disclosure Agreement: Standard Terms</w:t>
      </w:r>
    </w:p>
    <w:p>
      <w:r>
        <w:t>Version 2026.1. For use by Legal Counsel only. Deviations from these terms require General Counsel approval.</w:t>
      </w:r>
    </w:p>
    <w:p>
      <w:pPr>
        <w:pStyle w:val="Heading2"/>
      </w:pPr>
      <w:r>
        <w:t>1. Type of NDA</w:t>
      </w:r>
    </w:p>
    <w:p>
      <w:r>
        <w:t>NexaCore uses a mutual NDA template for vendors and partners. One-way NDAs are used only for candidate interviews involving confidential projects.</w:t>
      </w:r>
    </w:p>
    <w:p>
      <w:pPr>
        <w:pStyle w:val="Heading2"/>
      </w:pPr>
      <w:r>
        <w:t>2. Confidentiality Period</w:t>
      </w:r>
    </w:p>
    <w:p>
      <w:r>
        <w:t>Confidentiality obligations survive for 3 years after termination of the agreement. Trade secrets remain protected indefinitely.</w:t>
      </w:r>
    </w:p>
    <w:p>
      <w:pPr>
        <w:pStyle w:val="Heading2"/>
      </w:pPr>
      <w:r>
        <w:t>3. Governing Law and Jurisdiction</w:t>
      </w:r>
    </w:p>
    <w:p>
      <w:r>
        <w:t>The NDA is governed by the laws of India. Courts in New Delhi have exclusive jurisdiction.</w:t>
      </w:r>
    </w:p>
    <w:p>
      <w:pPr>
        <w:pStyle w:val="Heading2"/>
      </w:pPr>
      <w:r>
        <w:t>4. Return of Information</w:t>
      </w:r>
    </w:p>
    <w:p>
      <w:r>
        <w:t>On termination, the receiving party must return or destroy confidential information within 15 days and certify destruction in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 Standard Terms</dc:title>
  <dc:subject/>
  <dc:creator>NexaCore Technologies Pvt.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