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Asset Management Policy</w:t>
      </w:r>
    </w:p>
    <w:p>
      <w:r>
        <w:t>Version 2026.1, effective 15 January 2026. Owner: IT Manager.</w:t>
      </w:r>
    </w:p>
    <w:p>
      <w:pPr>
        <w:pStyle w:val="Heading2"/>
      </w:pPr>
      <w:r>
        <w:t>1. Laptop Allocation and Refresh</w:t>
      </w:r>
    </w:p>
    <w:p>
      <w:r>
        <w:t>Every employee is issued one laptop. Laptops are refreshed every 4 years or earlier if declared beyond economical repair by IT.</w:t>
      </w:r>
    </w:p>
    <w:p>
      <w:pPr>
        <w:pStyle w:val="Heading2"/>
      </w:pPr>
      <w:r>
        <w:t>2. Lost or Stolen Devices</w:t>
      </w:r>
    </w:p>
    <w:p>
      <w:r>
        <w:t>A lost or stolen laptop must be reported to the IT Service Desk within 24 hours. IT will remotely wipe the device. An FIR copy is required for stolen devices.</w:t>
      </w:r>
    </w:p>
    <w:p>
      <w:pPr>
        <w:pStyle w:val="Heading2"/>
      </w:pPr>
      <w:r>
        <w:t>3. Software Requests</w:t>
      </w:r>
    </w:p>
    <w:p>
      <w:r>
        <w:t>Software requests are raised on the ServiceDesk portal and approved by the IT Manager. Approved requests are fulfilled within 3 business days.</w:t>
      </w:r>
    </w:p>
    <w:p>
      <w:pPr>
        <w:pStyle w:val="Heading2"/>
      </w:pPr>
      <w:r>
        <w:t>4. Asset Return</w:t>
      </w:r>
    </w:p>
    <w:p>
      <w:r>
        <w:t>Exiting employees must return all IT assets on or before their last working day. Unreturned assets are recovered from the full and final settlement.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Asset Management Policy</dc:title>
  <dc:subject/>
  <dc:creator>NexaCore Technologies Pvt. Ltd.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