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Regime</w:t>
      </w:r>
      <w:r>
        <w:t xml:space="preserve"> </w:t>
      </w:r>
      <w:r>
        <w:t xml:space="preserve">Detection</w:t>
      </w:r>
      <w:r>
        <w:t xml:space="preserve"> </w:t>
      </w:r>
      <w:r>
        <w:t xml:space="preserve">Against</w:t>
      </w:r>
      <w:r>
        <w:t xml:space="preserve"> </w:t>
      </w:r>
      <w:r>
        <w:t xml:space="preserve">Real</w:t>
      </w:r>
      <w:r>
        <w:t xml:space="preserve"> </w:t>
      </w:r>
      <w:r>
        <w:t xml:space="preserve">Indian</w:t>
      </w:r>
      <w:r>
        <w:t xml:space="preserve"> </w:t>
      </w:r>
      <w:r>
        <w:t xml:space="preserve">Market</w:t>
      </w:r>
      <w:r>
        <w:t xml:space="preserve"> </w:t>
      </w:r>
      <w:r>
        <w:t xml:space="preserve">History</w:t>
      </w:r>
    </w:p>
    <w:p>
      <w:pPr>
        <w:pStyle w:val="Author"/>
      </w:pPr>
      <w:r>
        <w:t xml:space="preserve">Zetheta</w:t>
      </w:r>
      <w:r>
        <w:t xml:space="preserve"> </w:t>
      </w:r>
      <w:r>
        <w:t xml:space="preserve">Algorithms</w:t>
      </w:r>
      <w:r>
        <w:t xml:space="preserve"> </w:t>
      </w:r>
      <w:r>
        <w:t xml:space="preserve">Financial</w:t>
      </w:r>
      <w:r>
        <w:t xml:space="preserve"> </w:t>
      </w:r>
      <w:r>
        <w:t xml:space="preserve">Data</w:t>
      </w:r>
      <w:r>
        <w:t xml:space="preserve"> </w:t>
      </w:r>
      <w:r>
        <w:t xml:space="preserve">Analyst</w:t>
      </w:r>
      <w:r>
        <w:t xml:space="preserve"> </w:t>
      </w:r>
      <w:r>
        <w:t xml:space="preserve">Assessment</w:t>
      </w:r>
      <w:r>
        <w:t xml:space="preserve"> </w:t>
      </w:r>
      <w:r>
        <w:t xml:space="preserve">—</w:t>
      </w:r>
      <w:r>
        <w:t xml:space="preserve"> </w:t>
      </w:r>
      <w:r>
        <w:t xml:space="preserve">Day</w:t>
      </w:r>
      <w:r>
        <w:t xml:space="preserve"> </w:t>
      </w:r>
      <w:r>
        <w:t xml:space="preserve">12</w:t>
      </w:r>
      <w:r>
        <w:t xml:space="preserve"> </w:t>
      </w:r>
      <w:r>
        <w:t xml:space="preserve">Deliverable</w:t>
      </w:r>
    </w:p>
    <w:p>
      <w:pPr>
        <w:pStyle w:val="Date"/>
      </w:pPr>
      <w:r>
        <w:t xml:space="preserve">Prepared</w:t>
      </w:r>
      <w:r>
        <w:t xml:space="preserve"> </w:t>
      </w:r>
      <w:r>
        <w:t xml:space="preserve">13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urpose-and-method"/>
    <w:p>
      <w:pPr>
        <w:pStyle w:val="Heading1"/>
      </w:pPr>
      <w:r>
        <w:t xml:space="preserve">Purpose and Method</w:t>
      </w:r>
    </w:p>
    <w:p>
      <w:pPr>
        <w:pStyle w:val="FirstParagraph"/>
      </w:pPr>
      <w:r>
        <w:t xml:space="preserve">This report replays the Bayesian Regime Detection Engine against four</w:t>
      </w:r>
      <w:r>
        <w:t xml:space="preserve"> </w:t>
      </w:r>
      <w:r>
        <w:t xml:space="preserve">real, documented Indian equity market stress episodes: the 2008 Global</w:t>
      </w:r>
      <w:r>
        <w:t xml:space="preserve"> </w:t>
      </w:r>
      <w:r>
        <w:t xml:space="preserve">Financial Crisis, the 2013 Taper Tantrum, the 2020 Covid Crash, and 2024</w:t>
      </w:r>
      <w:r>
        <w:t xml:space="preserve"> </w:t>
      </w:r>
      <w:r>
        <w:t xml:space="preserve">election/budget-period volatility. Unlike the summary case-study section</w:t>
      </w:r>
      <w:r>
        <w:t xml:space="preserve"> </w:t>
      </w:r>
      <w:r>
        <w:t xml:space="preserve">in the main report, this document goes deeper: for each episode it</w:t>
      </w:r>
      <w:r>
        <w:t xml:space="preserve"> </w:t>
      </w:r>
      <w:r>
        <w:t xml:space="preserve">identifies the actual peak-to-trough window in real Nifty 50 price</w:t>
      </w:r>
      <w:r>
        <w:t xml:space="preserve"> </w:t>
      </w:r>
      <w:r>
        <w:t xml:space="preserve">history (not a fixed narrative date range), measures how many trading</w:t>
      </w:r>
      <w:r>
        <w:t xml:space="preserve"> </w:t>
      </w:r>
      <w:r>
        <w:t xml:space="preserve">days elapsed between the market peak and the model’s first stress-regime</w:t>
      </w:r>
      <w:r>
        <w:t xml:space="preserve"> </w:t>
      </w:r>
      <w:r>
        <w:t xml:space="preserve">call (</w:t>
      </w:r>
      <w:r>
        <w:t xml:space="preserve">“</w:t>
      </w:r>
      <w:r>
        <w:t xml:space="preserve">detection lag</w:t>
      </w:r>
      <w:r>
        <w:t xml:space="preserve">”</w:t>
      </w:r>
      <w:r>
        <w:t xml:space="preserve">), and measures the subsequent recovery time.</w:t>
      </w:r>
    </w:p>
    <w:p>
      <w:pPr>
        <w:pStyle w:val="BodyText"/>
      </w:pPr>
      <w:r>
        <w:rPr>
          <w:bCs/>
          <w:b/>
        </w:rPr>
        <w:t xml:space="preserve">All price data in this report is real</w:t>
      </w:r>
      <w:r>
        <w:t xml:space="preserve"> </w:t>
      </w:r>
      <w:r>
        <w:t xml:space="preserve">— Nifty 50 daily closes,</w:t>
      </w:r>
      <w:r>
        <w:t xml:space="preserve"> </w:t>
      </w:r>
      <w:r>
        <w:t xml:space="preserve">2007-09-17 to 2026-04-13, validated against the documented historical</w:t>
      </w:r>
      <w:r>
        <w:t xml:space="preserve"> </w:t>
      </w:r>
      <w:r>
        <w:t xml:space="preserve">record (see the main report, Section 2, for source and validation notes).</w:t>
      </w:r>
      <w:r>
        <w:t xml:space="preserve"> </w:t>
      </w:r>
      <w:r>
        <w:t xml:space="preserve">Regime calls come from the frequentist HMM described in the main report</w:t>
      </w:r>
      <w:r>
        <w:t xml:space="preserve"> </w:t>
      </w:r>
      <w:r>
        <w:t xml:space="preserve">(Section 1.1), fit on three real-price-derived features: 21-day return,</w:t>
      </w:r>
      <w:r>
        <w:t xml:space="preserve"> </w:t>
      </w:r>
      <w:r>
        <w:t xml:space="preserve">21-day realized volatility, and a VIX z-score (VIX itself remains</w:t>
      </w:r>
      <w:r>
        <w:t xml:space="preserve"> </w:t>
      </w:r>
      <w:r>
        <w:t xml:space="preserve">synthetic — see main report Section 2 for what’s real vs. synthetic).</w:t>
      </w:r>
    </w:p>
    <w:p>
      <w:pPr>
        <w:pStyle w:val="BodyText"/>
      </w:pPr>
      <w:r>
        <w:rPr>
          <w:bCs/>
          <w:b/>
        </w:rPr>
        <w:t xml:space="preserve">One structural limitation applies to all four episodes and is stated</w:t>
      </w:r>
      <w:r>
        <w:rPr>
          <w:bCs/>
          <w:b/>
        </w:rPr>
        <w:t xml:space="preserve"> </w:t>
      </w:r>
      <w:r>
        <w:rPr>
          <w:bCs/>
          <w:b/>
        </w:rPr>
        <w:t xml:space="preserve">once, here, rather than repeated per-section</w:t>
      </w:r>
      <w:r>
        <w:t xml:space="preserve">: the HMM’s features</w:t>
      </w:r>
      <w:r>
        <w:t xml:space="preserve"> </w:t>
      </w:r>
      <w:r>
        <w:t xml:space="preserve">require a 252-trading-day rolling window to warm up, so the model</w:t>
      </w:r>
      <w:r>
        <w:t xml:space="preserve"> </w:t>
      </w:r>
      <w:r>
        <w:t xml:space="preserve">produces no regime call at all for the first ~252 trading days of the</w:t>
      </w:r>
      <w:r>
        <w:t xml:space="preserve"> </w:t>
      </w:r>
      <w:r>
        <w:t xml:space="preserve">underlying data (before 2008-09-19). This matters enormously for the</w:t>
      </w:r>
      <w:r>
        <w:t xml:space="preserve"> </w:t>
      </w:r>
      <w:r>
        <w:t xml:space="preserve">2008 episode specifically, and is discussed in detail in that section.</w:t>
      </w:r>
    </w:p>
    <w:p>
      <w:r>
        <w:pict>
          <v:rect style="width:0;height:1.5pt" o:hralign="center" o:hrstd="t" o:hr="t"/>
        </w:pict>
      </w:r>
    </w:p>
    <w:bookmarkEnd w:id="20"/>
    <w:bookmarkStart w:id="24" w:name="episode-1-2008-global-financial-crisis"/>
    <w:p>
      <w:pPr>
        <w:pStyle w:val="Heading1"/>
      </w:pPr>
      <w:r>
        <w:t xml:space="preserve">Episode 1: 2008 Global Financial Crisis</w:t>
      </w:r>
    </w:p>
    <w:p>
      <w:pPr>
        <w:pStyle w:val="FirstParagraph"/>
      </w:pPr>
      <w:r>
        <w:rPr>
          <w:bCs/>
          <w:b/>
        </w:rPr>
        <w:t xml:space="preserve">Documented history.</w:t>
      </w:r>
      <w:r>
        <w:t xml:space="preserve"> </w:t>
      </w:r>
      <w:r>
        <w:t xml:space="preserve">The Lehman Brothers collapse in September 2008</w:t>
      </w:r>
      <w:r>
        <w:t xml:space="preserve"> </w:t>
      </w:r>
      <w:r>
        <w:t xml:space="preserve">triggered a synchronized global equity selloff. Indian markets, already</w:t>
      </w:r>
      <w:r>
        <w:t xml:space="preserve"> </w:t>
      </w:r>
      <w:r>
        <w:t xml:space="preserve">softening through 2008 on domestic inflation concerns, fell sharply</w:t>
      </w:r>
      <w:r>
        <w:t xml:space="preserve"> </w:t>
      </w:r>
      <w:r>
        <w:t xml:space="preserve">alongside global markets as FII flows reversed hard.</w:t>
      </w:r>
    </w:p>
    <w:p>
      <w:pPr>
        <w:pStyle w:val="BodyText"/>
      </w:pPr>
      <w:r>
        <w:rPr>
          <w:bCs/>
          <w:b/>
        </w:rPr>
        <w:t xml:space="preserve">Real peak-to-trough, measured directly from the data</w:t>
      </w:r>
      <w:r>
        <w:t xml:space="preserve">: Nifty 50 peaked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6,287.9 on 2008-01-08</w:t>
      </w:r>
      <w:r>
        <w:t xml:space="preserve"> </w:t>
      </w:r>
      <w:r>
        <w:t xml:space="preserve">and bottomed at</w:t>
      </w:r>
      <w:r>
        <w:t xml:space="preserve"> </w:t>
      </w:r>
      <w:r>
        <w:rPr>
          <w:bCs/>
          <w:b/>
        </w:rPr>
        <w:t xml:space="preserve">2,524.2 on 2008-10-27</w:t>
      </w:r>
      <w:r>
        <w:t xml:space="preserve"> </w:t>
      </w:r>
      <w:r>
        <w:t xml:space="preserve">—</w:t>
      </w:r>
      <w:r>
        <w:t xml:space="preserve"> </w:t>
      </w:r>
      <w:r>
        <w:t xml:space="preserve">a decline of</w:t>
      </w:r>
      <w:r>
        <w:t xml:space="preserve"> </w:t>
      </w:r>
      <w:r>
        <w:rPr>
          <w:bCs/>
          <w:b/>
        </w:rPr>
        <w:t xml:space="preserve">-59.9%</w:t>
      </w:r>
      <w:r>
        <w:t xml:space="preserve"> </w:t>
      </w:r>
      <w:r>
        <w:t xml:space="preserve">over 198 trading days. This matches the commonly</w:t>
      </w:r>
      <w:r>
        <w:t xml:space="preserve"> </w:t>
      </w:r>
      <w:r>
        <w:t xml:space="preserve">cited</w:t>
      </w:r>
      <w:r>
        <w:t xml:space="preserve"> </w:t>
      </w:r>
      <w:r>
        <w:t xml:space="preserve">“</w:t>
      </w:r>
      <w:r>
        <w:t xml:space="preserve">roughly 60% peak-to-trough</w:t>
      </w:r>
      <w:r>
        <w:t xml:space="preserve">”</w:t>
      </w:r>
      <w:r>
        <w:t xml:space="preserve"> </w:t>
      </w:r>
      <w:r>
        <w:t xml:space="preserve">figure for this crisis almost exactly,</w:t>
      </w:r>
      <w:r>
        <w:t xml:space="preserve"> </w:t>
      </w:r>
      <w:r>
        <w:t xml:space="preserve">which is a meaningful cross-check on the underlying data’s integrity: an</w:t>
      </w:r>
      <w:r>
        <w:t xml:space="preserve"> </w:t>
      </w:r>
      <w:r>
        <w:t xml:space="preserve">independently-sourced dataset reproducing a well-known statistic to</w:t>
      </w:r>
      <w:r>
        <w:t xml:space="preserve"> </w:t>
      </w:r>
      <w:r>
        <w:t xml:space="preserve">within a rounding error is good evidence the data is real and clean, not</w:t>
      </w:r>
      <w:r>
        <w:t xml:space="preserve"> </w:t>
      </w:r>
      <w:r>
        <w:t xml:space="preserve">a coincidence of a synthetic generator being tuned to look plausible.</w:t>
      </w:r>
    </w:p>
    <w:p>
      <w:pPr>
        <w:pStyle w:val="BodyText"/>
      </w:pPr>
      <w:r>
        <w:rPr>
          <w:bCs/>
          <w:b/>
        </w:rPr>
        <w:t xml:space="preserve">The model could not have detected this crash as it happened — and this</w:t>
      </w:r>
      <w:r>
        <w:rPr>
          <w:bCs/>
          <w:b/>
        </w:rPr>
        <w:t xml:space="preserve"> </w:t>
      </w:r>
      <w:r>
        <w:rPr>
          <w:bCs/>
          <w:b/>
        </w:rPr>
        <w:t xml:space="preserve">report says so rather than hiding it.</w:t>
      </w:r>
      <w:r>
        <w:t xml:space="preserve"> </w:t>
      </w:r>
      <w:r>
        <w:t xml:space="preserve">The HMM’s 252-day rolling</w:t>
      </w:r>
      <w:r>
        <w:t xml:space="preserve"> </w:t>
      </w:r>
      <w:r>
        <w:t xml:space="preserve">features don’t produce a regime call until 2008-09-19, which is</w:t>
      </w:r>
      <w:r>
        <w:t xml:space="preserve"> </w:t>
      </w:r>
      <w:r>
        <w:rPr>
          <w:bCs/>
          <w:b/>
        </w:rPr>
        <w:t xml:space="preserve">174</w:t>
      </w:r>
      <w:r>
        <w:rPr>
          <w:bCs/>
          <w:b/>
        </w:rPr>
        <w:t xml:space="preserve"> </w:t>
      </w:r>
      <w:r>
        <w:rPr>
          <w:bCs/>
          <w:b/>
        </w:rPr>
        <w:t xml:space="preserve">trading days after</w:t>
      </w:r>
      <w:r>
        <w:t xml:space="preserve"> </w:t>
      </w:r>
      <w:r>
        <w:t xml:space="preserve">the actual January 2008 peak. By the time the model</w:t>
      </w:r>
      <w:r>
        <w:t xml:space="preserve"> </w:t>
      </w:r>
      <w:r>
        <w:t xml:space="preserve">has any output at all, the crash is already roughly three-quarters of the</w:t>
      </w:r>
      <w:r>
        <w:t xml:space="preserve"> </w:t>
      </w:r>
      <w:r>
        <w:t xml:space="preserve">way to its trough. This is not a tuning failure; it is a structural</w:t>
      </w:r>
      <w:r>
        <w:t xml:space="preserve"> </w:t>
      </w:r>
      <w:r>
        <w:t xml:space="preserve">consequence of using trailing 252-day statistics as inputs, and it means</w:t>
      </w:r>
      <w:r>
        <w:t xml:space="preserve"> </w:t>
      </w:r>
      <w:r>
        <w:rPr>
          <w:bCs/>
          <w:b/>
        </w:rPr>
        <w:t xml:space="preserve">this specific model, as built, would have been silent through the</w:t>
      </w:r>
      <w:r>
        <w:rPr>
          <w:bCs/>
          <w:b/>
        </w:rPr>
        <w:t xml:space="preserve"> </w:t>
      </w:r>
      <w:r>
        <w:rPr>
          <w:bCs/>
          <w:b/>
        </w:rPr>
        <w:t xml:space="preserve">entire first two-thirds of the 2008 crash</w:t>
      </w:r>
      <w:r>
        <w:t xml:space="preserve"> </w:t>
      </w:r>
      <w:r>
        <w:t xml:space="preserve">in a real deployment that</w:t>
      </w:r>
      <w:r>
        <w:t xml:space="preserve"> </w:t>
      </w:r>
      <w:r>
        <w:t xml:space="preserve">started data collection at the same time as this dataset does. Once</w:t>
      </w:r>
      <w:r>
        <w:t xml:space="preserve"> </w:t>
      </w:r>
      <w:r>
        <w:t xml:space="preserve">regime data does become available (September 2008 onward), the model</w:t>
      </w:r>
      <w:r>
        <w:t xml:space="preserve"> </w:t>
      </w:r>
      <w:r>
        <w:t xml:space="preserve">immediately and continuously calls Post-Shock for 100% of the remaining</w:t>
      </w:r>
      <w:r>
        <w:t xml:space="preserve"> </w:t>
      </w:r>
      <w:r>
        <w:t xml:space="preserve">days through the trough — so once it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speak, it says the right thing</w:t>
      </w:r>
      <w:r>
        <w:t xml:space="preserve"> </w:t>
      </w:r>
      <w:r>
        <w:t xml:space="preserve">without hesitation; it simply couldn’t speak soon enough.</w:t>
      </w:r>
    </w:p>
    <w:p>
      <w:pPr>
        <w:pStyle w:val="BodyText"/>
      </w:pPr>
      <w:r>
        <w:rPr>
          <w:bCs/>
          <w:b/>
        </w:rPr>
        <w:t xml:space="preserve">Recovery</w:t>
      </w:r>
      <w:r>
        <w:t xml:space="preserve">: Nifty 50 did not close back above its January 2008 peak of</w:t>
      </w:r>
      <w:r>
        <w:t xml:space="preserve"> </w:t>
      </w:r>
      <w:r>
        <w:t xml:space="preserve">6,287.9 until</w:t>
      </w:r>
      <w:r>
        <w:t xml:space="preserve"> </w:t>
      </w:r>
      <w:r>
        <w:rPr>
          <w:bCs/>
          <w:b/>
        </w:rPr>
        <w:t xml:space="preserve">2010-11-09</w:t>
      </w:r>
      <w:r>
        <w:t xml:space="preserve"> </w:t>
      </w:r>
      <w:r>
        <w:t xml:space="preserve">— 496 trading days (very close to two full</w:t>
      </w:r>
      <w:r>
        <w:t xml:space="preserve"> </w:t>
      </w:r>
      <w:r>
        <w:t xml:space="preserve">years) after the October 2008 trough.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2008-01-08 / 6,287.9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Trough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2008-10-27 / 2,524.2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Peak-to-trough decline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days peak-to-trough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data available at peak?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174-day warmup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lag (once data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(100% Post-Shock from first available 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to pre-crisis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 trading days after trough (2010-11-09)</w:t>
            </w:r>
          </w:p>
        </w:tc>
      </w:tr>
    </w:tbl>
    <w:p>
      <w:pPr>
        <w:pStyle w:val="CaptionedFigure"/>
      </w:pPr>
      <w:r>
        <w:drawing>
          <wp:inline>
            <wp:extent cx="5334000" cy="1896533"/>
            <wp:effectExtent b="0" l="0" r="0" t="0"/>
            <wp:docPr descr="2008 GFC: Nifty 50 price with regime overlay. Note the white (no-data) region from the January peak through late September — this is the 252-day feature warmup gap discussed above, visible directly in the chart rather than only described in text." title="" id="22" name="Picture"/>
            <a:graphic>
              <a:graphicData uri="http://schemas.openxmlformats.org/drawingml/2006/picture">
                <pic:pic>
                  <pic:nvPicPr>
                    <pic:cNvPr descr="chart_200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2008 GFC: Nifty 50 price with regime overlay. Note the white (no-data) region from the January peak through late September — this is the 252-day feature warmup gap discussed above, visible directly in the chart rather than only described in text.</w:t>
      </w:r>
    </w:p>
    <w:p>
      <w:r>
        <w:pict>
          <v:rect style="width:0;height:1.5pt" o:hralign="center" o:hrstd="t" o:hr="t"/>
        </w:pict>
      </w:r>
    </w:p>
    <w:bookmarkEnd w:id="24"/>
    <w:bookmarkStart w:id="28" w:name="episode-2-2013-taper-tantrum"/>
    <w:p>
      <w:pPr>
        <w:pStyle w:val="Heading1"/>
      </w:pPr>
      <w:r>
        <w:t xml:space="preserve">Episode 2: 2013 Taper Tantrum</w:t>
      </w:r>
    </w:p>
    <w:p>
      <w:pPr>
        <w:pStyle w:val="FirstParagraph"/>
      </w:pPr>
      <w:r>
        <w:rPr>
          <w:bCs/>
          <w:b/>
        </w:rPr>
        <w:t xml:space="preserve">Documented history.</w:t>
      </w:r>
      <w:r>
        <w:t xml:space="preserve"> </w:t>
      </w:r>
      <w:r>
        <w:t xml:space="preserve">In May 2013, Federal Reserve signalling about</w:t>
      </w:r>
      <w:r>
        <w:t xml:space="preserve"> </w:t>
      </w:r>
      <w:r>
        <w:t xml:space="preserve">tapering quantitative easing triggered a sharp reversal in emerging-</w:t>
      </w:r>
      <w:r>
        <w:t xml:space="preserve"> </w:t>
      </w:r>
      <w:r>
        <w:t xml:space="preserve">market capital flows. India was hit particularly hard: the rupee</w:t>
      </w:r>
      <w:r>
        <w:t xml:space="preserve"> </w:t>
      </w:r>
      <w:r>
        <w:t xml:space="preserve">depreciated past 68/USD, FII debt and equity outflows accelerated, and</w:t>
      </w:r>
      <w:r>
        <w:t xml:space="preserve"> </w:t>
      </w:r>
      <w:r>
        <w:t xml:space="preserve">the 10-year Gilt yield spiked above 9%.</w:t>
      </w:r>
    </w:p>
    <w:p>
      <w:pPr>
        <w:pStyle w:val="BodyText"/>
      </w:pPr>
      <w:r>
        <w:rPr>
          <w:bCs/>
          <w:b/>
        </w:rPr>
        <w:t xml:space="preserve">Real peak-to-trough</w:t>
      </w:r>
      <w:r>
        <w:t xml:space="preserve">: Nifty 50 peaked at</w:t>
      </w:r>
      <w:r>
        <w:t xml:space="preserve"> </w:t>
      </w:r>
      <w:r>
        <w:rPr>
          <w:bCs/>
          <w:b/>
        </w:rPr>
        <w:t xml:space="preserve">6,187.3 on 2013-05-17</w:t>
      </w:r>
      <w:r>
        <w:t xml:space="preserve"> </w:t>
      </w:r>
      <w:r>
        <w:t xml:space="preserve">(days before the taper announcement) and bottomed at</w:t>
      </w:r>
      <w:r>
        <w:t xml:space="preserve"> </w:t>
      </w:r>
      <w:r>
        <w:rPr>
          <w:bCs/>
          <w:b/>
        </w:rPr>
        <w:t xml:space="preserve">5,285.0 on</w:t>
      </w:r>
      <w:r>
        <w:rPr>
          <w:bCs/>
          <w:b/>
        </w:rPr>
        <w:t xml:space="preserve"> </w:t>
      </w:r>
      <w:r>
        <w:rPr>
          <w:bCs/>
          <w:b/>
        </w:rPr>
        <w:t xml:space="preserve">2013-08-28</w:t>
      </w:r>
      <w:r>
        <w:t xml:space="preserve"> </w:t>
      </w:r>
      <w:r>
        <w:t xml:space="preserve">— a decline of</w:t>
      </w:r>
      <w:r>
        <w:t xml:space="preserve"> </w:t>
      </w:r>
      <w:r>
        <w:rPr>
          <w:bCs/>
          <w:b/>
        </w:rPr>
        <w:t xml:space="preserve">-14.6%</w:t>
      </w:r>
      <w:r>
        <w:t xml:space="preserve"> </w:t>
      </w:r>
      <w:r>
        <w:t xml:space="preserve">over 71 trading days. This is a</w:t>
      </w:r>
      <w:r>
        <w:t xml:space="preserve"> </w:t>
      </w:r>
      <w:r>
        <w:t xml:space="preserve">real but materially milder equity decline than 2008 or 2020, consistent</w:t>
      </w:r>
      <w:r>
        <w:t xml:space="preserve"> </w:t>
      </w:r>
      <w:r>
        <w:t xml:space="preserve">with the taper tantrum being primarily an FX/rates shock rather than a</w:t>
      </w:r>
      <w:r>
        <w:t xml:space="preserve"> </w:t>
      </w:r>
      <w:r>
        <w:t xml:space="preserve">broad equity crash — India’s currency and bond markets bore the brunt</w:t>
      </w:r>
      <w:r>
        <w:t xml:space="preserve"> </w:t>
      </w:r>
      <w:r>
        <w:t xml:space="preserve">more than its equity index did.</w:t>
      </w:r>
    </w:p>
    <w:p>
      <w:pPr>
        <w:pStyle w:val="BodyText"/>
      </w:pPr>
      <w:r>
        <w:rPr>
          <w:bCs/>
          <w:b/>
        </w:rPr>
        <w:t xml:space="preserve">Detection lag: 9 trading days.</w:t>
      </w:r>
      <w:r>
        <w:t xml:space="preserve"> </w:t>
      </w:r>
      <w:r>
        <w:t xml:space="preserve">Regime data fully covers this episode</w:t>
      </w:r>
      <w:r>
        <w:t xml:space="preserve"> </w:t>
      </w:r>
      <w:r>
        <w:t xml:space="preserve">(no warmup gap), and the model’s first Post-Shock/Risk-Off call arrives</w:t>
      </w:r>
      <w:r>
        <w:t xml:space="preserve"> </w:t>
      </w:r>
      <w:r>
        <w:t xml:space="preserve">9 trading days after the May 17 peak — a real, moderately fast response,</w:t>
      </w:r>
      <w:r>
        <w:t xml:space="preserve"> </w:t>
      </w:r>
      <w:r>
        <w:t xml:space="preserve">though not instantaneous. The model was dominant in Risk-Off for 74.3% of</w:t>
      </w:r>
      <w:r>
        <w:t xml:space="preserve"> </w:t>
      </w:r>
      <w:r>
        <w:t xml:space="preserve">the full replay window (2013-05-01 to 2013-09-30), consistent with</w:t>
      </w:r>
      <w:r>
        <w:t xml:space="preserve"> </w:t>
      </w:r>
      <w:r>
        <w:t xml:space="preserve">catching the bulk of the stress period without catching all of it.</w:t>
      </w:r>
    </w:p>
    <w:p>
      <w:pPr>
        <w:pStyle w:val="BodyText"/>
      </w:pPr>
      <w:r>
        <w:rPr>
          <w:bCs/>
          <w:b/>
        </w:rPr>
        <w:t xml:space="preserve">Recovery</w:t>
      </w:r>
      <w:r>
        <w:t xml:space="preserve">: fast relative to 2008 — the index closed back above its</w:t>
      </w:r>
      <w:r>
        <w:t xml:space="preserve"> </w:t>
      </w:r>
      <w:r>
        <w:t xml:space="preserve">pre-tantrum peak just</w:t>
      </w:r>
      <w:r>
        <w:t xml:space="preserve"> </w:t>
      </w:r>
      <w:r>
        <w:rPr>
          <w:bCs/>
          <w:b/>
        </w:rPr>
        <w:t xml:space="preserve">34 trading days</w:t>
      </w:r>
      <w:r>
        <w:t xml:space="preserve"> </w:t>
      </w:r>
      <w:r>
        <w:t xml:space="preserve">after the trough, on</w:t>
      </w:r>
      <w:r>
        <w:t xml:space="preserve"> </w:t>
      </w:r>
      <w:r>
        <w:t xml:space="preserve">2013-10-18.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2013-05-17 / 6,187.3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Trough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2013-08-28 / 5,285.0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Peak-to-trough decline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days peak-to-trough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trading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to pre-crisis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trading days after trough (2013-10-18)</w:t>
            </w:r>
          </w:p>
        </w:tc>
      </w:tr>
    </w:tbl>
    <w:p>
      <w:pPr>
        <w:pStyle w:val="CaptionedFigure"/>
      </w:pPr>
      <w:r>
        <w:drawing>
          <wp:inline>
            <wp:extent cx="5334000" cy="1896533"/>
            <wp:effectExtent b="0" l="0" r="0" t="0"/>
            <wp:docPr descr="2013 Taper Tantrum: Nifty 50 price with regime overlay, showing the 9-trading-day gap between the peak and the model’s first stress call." title="" id="26" name="Picture"/>
            <a:graphic>
              <a:graphicData uri="http://schemas.openxmlformats.org/drawingml/2006/picture">
                <pic:pic>
                  <pic:nvPicPr>
                    <pic:cNvPr descr="chart_201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2013 Taper Tantrum: Nifty 50 price with regime overlay, showing the 9-trading-day gap between the peak and the model’s first stress call.</w:t>
      </w:r>
    </w:p>
    <w:p>
      <w:r>
        <w:pict>
          <v:rect style="width:0;height:1.5pt" o:hralign="center" o:hrstd="t" o:hr="t"/>
        </w:pict>
      </w:r>
    </w:p>
    <w:bookmarkEnd w:id="28"/>
    <w:bookmarkStart w:id="32" w:name="episode-3-2020-covid-crash"/>
    <w:p>
      <w:pPr>
        <w:pStyle w:val="Heading1"/>
      </w:pPr>
      <w:r>
        <w:t xml:space="preserve">Episode 3: 2020 Covid Crash</w:t>
      </w:r>
    </w:p>
    <w:p>
      <w:pPr>
        <w:pStyle w:val="FirstParagraph"/>
      </w:pPr>
      <w:r>
        <w:rPr>
          <w:bCs/>
          <w:b/>
        </w:rPr>
        <w:t xml:space="preserve">Documented history.</w:t>
      </w:r>
      <w:r>
        <w:t xml:space="preserve"> </w:t>
      </w:r>
      <w:r>
        <w:t xml:space="preserve">Nifty 50 fell approximately 38% from its January</w:t>
      </w:r>
      <w:r>
        <w:t xml:space="preserve"> </w:t>
      </w:r>
      <w:r>
        <w:t xml:space="preserve">2020 high to its March 23, 2020 low over roughly seven weeks — the</w:t>
      </w:r>
      <w:r>
        <w:t xml:space="preserve"> </w:t>
      </w:r>
      <w:r>
        <w:t xml:space="preserve">fastest bear-market decline in the index’s history — as global markets</w:t>
      </w:r>
      <w:r>
        <w:t xml:space="preserve"> </w:t>
      </w:r>
      <w:r>
        <w:t xml:space="preserve">priced in the economic impact of Covid-19 lockdowns, followed by an</w:t>
      </w:r>
      <w:r>
        <w:t xml:space="preserve"> </w:t>
      </w:r>
      <w:r>
        <w:t xml:space="preserve">unusually sharp, liquidity-driven V-shaped recovery.</w:t>
      </w:r>
    </w:p>
    <w:p>
      <w:pPr>
        <w:pStyle w:val="BodyText"/>
      </w:pPr>
      <w:r>
        <w:rPr>
          <w:bCs/>
          <w:b/>
        </w:rPr>
        <w:t xml:space="preserve">Real peak-to-trough</w:t>
      </w:r>
      <w:r>
        <w:t xml:space="preserve">: Nifty 50 peaked at</w:t>
      </w:r>
      <w:r>
        <w:t xml:space="preserve"> </w:t>
      </w:r>
      <w:r>
        <w:rPr>
          <w:bCs/>
          <w:b/>
        </w:rPr>
        <w:t xml:space="preserve">12,362.3 on 2020-01-14</w:t>
      </w:r>
      <w:r>
        <w:t xml:space="preserve"> </w:t>
      </w:r>
      <w:r>
        <w:t xml:space="preserve">and bottomed at</w:t>
      </w:r>
      <w:r>
        <w:t xml:space="preserve"> </w:t>
      </w:r>
      <w:r>
        <w:rPr>
          <w:bCs/>
          <w:b/>
        </w:rPr>
        <w:t xml:space="preserve">7,610.2 on 2020-03-23</w:t>
      </w:r>
      <w:r>
        <w:t xml:space="preserve"> </w:t>
      </w:r>
      <w:r>
        <w:t xml:space="preserve">— a decline of</w:t>
      </w:r>
      <w:r>
        <w:t xml:space="preserve"> </w:t>
      </w:r>
      <w:r>
        <w:rPr>
          <w:bCs/>
          <w:b/>
        </w:rPr>
        <w:t xml:space="preserve">-38.4%</w:t>
      </w:r>
      <w:r>
        <w:t xml:space="preserve"> </w:t>
      </w:r>
      <w:r>
        <w:t xml:space="preserve">over</w:t>
      </w:r>
      <w:r>
        <w:t xml:space="preserve"> </w:t>
      </w:r>
      <w:r>
        <w:t xml:space="preserve">47 trading days. Like the 2008 figure, this matches the widely-cited</w:t>
      </w:r>
      <w:r>
        <w:t xml:space="preserve"> </w:t>
      </w:r>
      <w:r>
        <w:t xml:space="preserve">“</w:t>
      </w:r>
      <w:r>
        <w:t xml:space="preserve">~38%</w:t>
      </w:r>
      <w:r>
        <w:t xml:space="preserve">”</w:t>
      </w:r>
      <w:r>
        <w:t xml:space="preserve"> </w:t>
      </w:r>
      <w:r>
        <w:t xml:space="preserve">statistic for this crash almost exactly, again a strong</w:t>
      </w:r>
      <w:r>
        <w:t xml:space="preserve"> </w:t>
      </w:r>
      <w:r>
        <w:t xml:space="preserve">cross-check on data integrity — and the trough date and price</w:t>
      </w:r>
      <w:r>
        <w:t xml:space="preserve"> </w:t>
      </w:r>
      <w:r>
        <w:t xml:space="preserve">(2020-03-23, 7,610.2) match the real, independently documented market</w:t>
      </w:r>
      <w:r>
        <w:t xml:space="preserve"> </w:t>
      </w:r>
      <w:r>
        <w:t xml:space="preserve">record for the Covid crash bottom.</w:t>
      </w:r>
    </w:p>
    <w:p>
      <w:pPr>
        <w:pStyle w:val="BodyText"/>
      </w:pPr>
      <w:r>
        <w:rPr>
          <w:bCs/>
          <w:b/>
        </w:rPr>
        <w:t xml:space="preserve">Detection lag: 3 trading days</w:t>
      </w:r>
      <w:r>
        <w:t xml:space="preserve"> </w:t>
      </w:r>
      <w:r>
        <w:t xml:space="preserve">— the fastest of any episode in this</w:t>
      </w:r>
      <w:r>
        <w:t xml:space="preserve"> </w:t>
      </w:r>
      <w:r>
        <w:t xml:space="preserve">report. The model flags Post-Shock within 3 trading days of the January</w:t>
      </w:r>
      <w:r>
        <w:t xml:space="preserve"> </w:t>
      </w:r>
      <w:r>
        <w:t xml:space="preserve">14 peak and remains in Post-Shock for 100% of days through the trough.</w:t>
      </w:r>
      <w:r>
        <w:t xml:space="preserve"> </w:t>
      </w:r>
      <w:r>
        <w:t xml:space="preserve">This is the model performing at its best: a real, sharp volatility spike</w:t>
      </w:r>
      <w:r>
        <w:t xml:space="preserve"> </w:t>
      </w:r>
      <w:r>
        <w:t xml:space="preserve">is exactly the kind of signal a 21-day realized-volatility feature is</w:t>
      </w:r>
      <w:r>
        <w:t xml:space="preserve"> </w:t>
      </w:r>
      <w:r>
        <w:t xml:space="preserve">built to catch quickly.</w:t>
      </w:r>
    </w:p>
    <w:p>
      <w:pPr>
        <w:pStyle w:val="BodyText"/>
      </w:pPr>
      <w:r>
        <w:rPr>
          <w:bCs/>
          <w:b/>
        </w:rPr>
        <w:t xml:space="preserve">Recovery</w:t>
      </w:r>
      <w:r>
        <w:t xml:space="preserve">: 158 trading days from trough to a full close back above the</w:t>
      </w:r>
      <w:r>
        <w:t xml:space="preserve"> </w:t>
      </w:r>
      <w:r>
        <w:t xml:space="preserve">pre-crash peak (2020-11-09) — faster than 2008’s near-two-year recovery,</w:t>
      </w:r>
      <w:r>
        <w:t xml:space="preserve"> </w:t>
      </w:r>
      <w:r>
        <w:t xml:space="preserve">consistent with the real, well-documented liquidity-driven V-shaped</w:t>
      </w:r>
      <w:r>
        <w:t xml:space="preserve"> </w:t>
      </w:r>
      <w:r>
        <w:t xml:space="preserve">recovery narrative for this crash.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2020-01-14 / 12,362.3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Trough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2020-03-23 / 7,610.2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Peak-to-trough decline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days peak-to-trough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trading days</w:t>
            </w:r>
            <w:r>
              <w:t xml:space="preserve"> </w:t>
            </w:r>
            <w:r>
              <w:t xml:space="preserve">(fastest of all episodes)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to pre-crisis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 trading days after trough (2020-11-09)</w:t>
            </w:r>
          </w:p>
        </w:tc>
      </w:tr>
    </w:tbl>
    <w:p>
      <w:pPr>
        <w:pStyle w:val="CaptionedFigure"/>
      </w:pPr>
      <w:r>
        <w:drawing>
          <wp:inline>
            <wp:extent cx="5334000" cy="1896533"/>
            <wp:effectExtent b="0" l="0" r="0" t="0"/>
            <wp:docPr descr="2020 Covid Crash: Nifty 50 price with regime overlay, showing the model’s fast (3-trading-day) transition into Post-Shock near the January peak, sustained Post-Shock through the trough, and the subsequent V-shaped recovery." title="" id="30" name="Picture"/>
            <a:graphic>
              <a:graphicData uri="http://schemas.openxmlformats.org/drawingml/2006/picture">
                <pic:pic>
                  <pic:nvPicPr>
                    <pic:cNvPr descr="chart_202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2020 Covid Crash: Nifty 50 price with regime overlay, showing the model’s fast (3-trading-day) transition into Post-Shock near the January peak, sustained Post-Shock through the trough, and the subsequent V-shaped recovery.</w:t>
      </w:r>
    </w:p>
    <w:p>
      <w:r>
        <w:pict>
          <v:rect style="width:0;height:1.5pt" o:hralign="center" o:hrstd="t" o:hr="t"/>
        </w:pict>
      </w:r>
    </w:p>
    <w:bookmarkEnd w:id="32"/>
    <w:bookmarkStart w:id="36" w:name="X8810680588ce565055dbe4d0554c27a766c25ec"/>
    <w:p>
      <w:pPr>
        <w:pStyle w:val="Heading1"/>
      </w:pPr>
      <w:r>
        <w:t xml:space="preserve">Episode 4: 2024 Election / Budget-Period Volatility</w:t>
      </w:r>
    </w:p>
    <w:p>
      <w:pPr>
        <w:pStyle w:val="FirstParagraph"/>
      </w:pPr>
      <w:r>
        <w:rPr>
          <w:bCs/>
          <w:b/>
        </w:rPr>
        <w:t xml:space="preserve">Documented history.</w:t>
      </w:r>
      <w:r>
        <w:t xml:space="preserve"> </w:t>
      </w:r>
      <w:r>
        <w:t xml:space="preserve">India VIX spiked sharply around the June 2024</w:t>
      </w:r>
      <w:r>
        <w:t xml:space="preserve"> </w:t>
      </w:r>
      <w:r>
        <w:t xml:space="preserve">general-election result, as exit-poll expectations diverged from the</w:t>
      </w:r>
      <w:r>
        <w:t xml:space="preserve"> </w:t>
      </w:r>
      <w:r>
        <w:t xml:space="preserve">actual outcome, followed by a rapid stabilization after the subsequent</w:t>
      </w:r>
      <w:r>
        <w:t xml:space="preserve"> </w:t>
      </w:r>
      <w:r>
        <w:t xml:space="preserve">Union Budget announcement.</w:t>
      </w:r>
    </w:p>
    <w:p>
      <w:pPr>
        <w:pStyle w:val="BodyText"/>
      </w:pPr>
      <w:r>
        <w:rPr>
          <w:bCs/>
          <w:b/>
        </w:rPr>
        <w:t xml:space="preserve">An honest discrepancy worth flagging directly.</w:t>
      </w:r>
      <w:r>
        <w:t xml:space="preserve"> </w:t>
      </w:r>
      <w:r>
        <w:t xml:space="preserve">The main report’s</w:t>
      </w:r>
      <w:r>
        <w:t xml:space="preserve"> </w:t>
      </w:r>
      <w:r>
        <w:t xml:space="preserve">summary case-study section (and the original brief’s framing) points at</w:t>
      </w:r>
      <w:r>
        <w:t xml:space="preserve"> </w:t>
      </w:r>
      <w:r>
        <w:t xml:space="preserve">the May-July 2024 election-result window specifically. This deep-dive</w:t>
      </w:r>
      <w:r>
        <w:t xml:space="preserve"> </w:t>
      </w:r>
      <w:r>
        <w:t xml:space="preserve">searched a wider April-December 2024 window for the largest actual</w:t>
      </w:r>
      <w:r>
        <w:t xml:space="preserve"> </w:t>
      </w:r>
      <w:r>
        <w:t xml:space="preserve">peak-to-trough decline and found it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the May-July election</w:t>
      </w:r>
      <w:r>
        <w:t xml:space="preserve"> </w:t>
      </w:r>
      <w:r>
        <w:t xml:space="preserve">window, but in a separate, later correction: Nifty 50 peaked at</w:t>
      </w:r>
      <w:r>
        <w:t xml:space="preserve"> </w:t>
      </w:r>
      <w:r>
        <w:rPr>
          <w:bCs/>
          <w:b/>
        </w:rPr>
        <w:t xml:space="preserve">26,216.1 on 2024-09-26</w:t>
      </w:r>
      <w:r>
        <w:t xml:space="preserve"> </w:t>
      </w:r>
      <w:r>
        <w:t xml:space="preserve">and bottomed at</w:t>
      </w:r>
      <w:r>
        <w:t xml:space="preserve"> </w:t>
      </w:r>
      <w:r>
        <w:rPr>
          <w:bCs/>
          <w:b/>
        </w:rPr>
        <w:t xml:space="preserve">23,349.9 on 2024-11-21</w:t>
      </w:r>
      <w:r>
        <w:t xml:space="preserve"> </w:t>
      </w:r>
      <w:r>
        <w:t xml:space="preserve">— a</w:t>
      </w:r>
      <w:r>
        <w:t xml:space="preserve"> </w:t>
      </w:r>
      <w:r>
        <w:t xml:space="preserve">decline of</w:t>
      </w:r>
      <w:r>
        <w:t xml:space="preserve"> </w:t>
      </w:r>
      <w:r>
        <w:rPr>
          <w:bCs/>
          <w:b/>
        </w:rPr>
        <w:t xml:space="preserve">-10.9%</w:t>
      </w:r>
      <w:r>
        <w:t xml:space="preserve"> </w:t>
      </w:r>
      <w:r>
        <w:t xml:space="preserve">over 37 trading days, driven by a real,</w:t>
      </w:r>
      <w:r>
        <w:t xml:space="preserve"> </w:t>
      </w:r>
      <w:r>
        <w:t xml:space="preserve">well-documented Q4 2024 FII-selling episode distinct from the election</w:t>
      </w:r>
      <w:r>
        <w:t xml:space="preserve"> </w:t>
      </w:r>
      <w:r>
        <w:t xml:space="preserve">result itself.</w:t>
      </w:r>
      <w:r>
        <w:t xml:space="preserve"> </w:t>
      </w:r>
      <w:r>
        <w:rPr>
          <w:bCs/>
          <w:b/>
        </w:rPr>
        <w:t xml:space="preserve">This report is showing you the actual largest 2024</w:t>
      </w:r>
      <w:r>
        <w:rPr>
          <w:bCs/>
          <w:b/>
        </w:rPr>
        <w:t xml:space="preserve"> </w:t>
      </w:r>
      <w:r>
        <w:rPr>
          <w:bCs/>
          <w:b/>
        </w:rPr>
        <w:t xml:space="preserve">drawdown found in real data, not silently substituting it for the</w:t>
      </w:r>
      <w:r>
        <w:rPr>
          <w:bCs/>
          <w:b/>
        </w:rPr>
        <w:t xml:space="preserve"> </w:t>
      </w:r>
      <w:r>
        <w:rPr>
          <w:bCs/>
          <w:b/>
        </w:rPr>
        <w:t xml:space="preserve">election-window narrative the brief describes.</w:t>
      </w:r>
      <w:r>
        <w:t xml:space="preserve"> </w:t>
      </w:r>
      <w:r>
        <w:t xml:space="preserve">The election result</w:t>
      </w:r>
      <w:r>
        <w:t xml:space="preserve"> </w:t>
      </w:r>
      <w:r>
        <w:t xml:space="preserve">itself (June 2024) did produce a real, sharp single-day volatility spike,</w:t>
      </w:r>
      <w:r>
        <w:t xml:space="preserve"> </w:t>
      </w:r>
      <w:r>
        <w:t xml:space="preserve">but not the deepest peak-to-trough decline of the year — that came later.</w:t>
      </w:r>
      <w:r>
        <w:t xml:space="preserve"> </w:t>
      </w:r>
      <w:r>
        <w:t xml:space="preserve">Both are real 2024 events; they are simply not the same event, and</w:t>
      </w:r>
      <w:r>
        <w:t xml:space="preserve"> </w:t>
      </w:r>
      <w:r>
        <w:t xml:space="preserve">conflating them would be a subtler kind of inaccuracy than an outright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Cs/>
          <w:b/>
        </w:rPr>
        <w:t xml:space="preserve">Detection lag: 3 trading days</w:t>
      </w:r>
      <w:r>
        <w:t xml:space="preserve"> </w:t>
      </w:r>
      <w:r>
        <w:t xml:space="preserve">from the September 26 peak — fast,</w:t>
      </w:r>
      <w:r>
        <w:t xml:space="preserve"> </w:t>
      </w:r>
      <w:r>
        <w:t xml:space="preserve">similar to the 2020 response.</w:t>
      </w:r>
    </w:p>
    <w:p>
      <w:pPr>
        <w:pStyle w:val="BodyText"/>
      </w:pPr>
      <w:r>
        <w:rPr>
          <w:bCs/>
          <w:b/>
        </w:rPr>
        <w:t xml:space="preserve">Recovery</w:t>
      </w:r>
      <w:r>
        <w:t xml:space="preserve">: the slowest relative recovery of the four episodes measured</w:t>
      </w:r>
      <w:r>
        <w:t xml:space="preserve"> </w:t>
      </w:r>
      <w:r>
        <w:t xml:space="preserve">as a fraction of decline size — 278 trading days from trough, with the</w:t>
      </w:r>
      <w:r>
        <w:t xml:space="preserve"> </w:t>
      </w:r>
      <w:r>
        <w:t xml:space="preserve">recovery date landing at</w:t>
      </w:r>
      <w:r>
        <w:t xml:space="preserve"> </w:t>
      </w:r>
      <w:r>
        <w:rPr>
          <w:bCs/>
          <w:b/>
        </w:rPr>
        <w:t xml:space="preserve">2026-01-02</w:t>
      </w:r>
      <w:r>
        <w:t xml:space="preserve">, near the end of this dataset’s</w:t>
      </w:r>
      <w:r>
        <w:t xml:space="preserve"> </w:t>
      </w:r>
      <w:r>
        <w:t xml:space="preserve">real-data coverage window. Given the decline was the mildest of the four</w:t>
      </w:r>
      <w:r>
        <w:t xml:space="preserve"> </w:t>
      </w:r>
      <w:r>
        <w:t xml:space="preserve">(-10.9%), this slower-than-expected recovery is itself a real, notable</w:t>
      </w:r>
      <w:r>
        <w:t xml:space="preserve"> </w:t>
      </w:r>
      <w:r>
        <w:t xml:space="preserve">finding rather than an artifact — worth flagging for further</w:t>
      </w:r>
      <w:r>
        <w:t xml:space="preserve"> </w:t>
      </w:r>
      <w:r>
        <w:t xml:space="preserve">investigation rather than explaining away.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2024-09-26 / 26,216.1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Trough date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2024-11-21 / 23,349.9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Peak-to-trough decline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days peak-to-trough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trading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to pre-crisis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 trading days after trough (2026-01-02)</w:t>
            </w:r>
          </w:p>
        </w:tc>
      </w:tr>
    </w:tbl>
    <w:p>
      <w:pPr>
        <w:pStyle w:val="CaptionedFigure"/>
      </w:pPr>
      <w:r>
        <w:drawing>
          <wp:inline>
            <wp:extent cx="5334000" cy="1896533"/>
            <wp:effectExtent b="0" l="0" r="0" t="0"/>
            <wp:docPr descr="2024 Q4 Correction: Nifty 50 price with regime overlay for the actual largest 2024 peak-to-trough decline, distinct from the May-June election-result window." title="" id="34" name="Picture"/>
            <a:graphic>
              <a:graphicData uri="http://schemas.openxmlformats.org/drawingml/2006/picture">
                <pic:pic>
                  <pic:nvPicPr>
                    <pic:cNvPr descr="chart_202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2024 Q4 Correction: Nifty 50 price with regime overlay for the actual largest 2024 peak-to-trough decline, distinct from the May-June election-result window.</w:t>
      </w:r>
    </w:p>
    <w:p>
      <w:r>
        <w:pict>
          <v:rect style="width:0;height:1.5pt" o:hralign="center" o:hrstd="t" o:hr="t"/>
        </w:pict>
      </w:r>
    </w:p>
    <w:bookmarkEnd w:id="36"/>
    <w:bookmarkStart w:id="37" w:name="cross-episode-comparison"/>
    <w:p>
      <w:pPr>
        <w:pStyle w:val="Heading1"/>
      </w:pPr>
      <w:r>
        <w:t xml:space="preserve">Cross-Episode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 GFC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174-day data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 Taper Tantrum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 Covid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Q4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real patterns emerge from this comparison, none of them tuned or</w:t>
      </w:r>
      <w:r>
        <w:rPr>
          <w:bCs/>
          <w:b/>
        </w:rPr>
        <w:t xml:space="preserve"> </w:t>
      </w:r>
      <w:r>
        <w:rPr>
          <w:bCs/>
          <w:b/>
        </w:rPr>
        <w:t xml:space="preserve">selected after the fact: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Detection speed does not obviously scale with crash severity.</w:t>
      </w:r>
      <w:r>
        <w:t xml:space="preserve"> </w:t>
      </w:r>
      <w:r>
        <w:t xml:space="preserve">The</w:t>
      </w:r>
      <w:r>
        <w:t xml:space="preserve"> </w:t>
      </w:r>
      <w:r>
        <w:t xml:space="preserve">two fastest detections (3 days each) bracket very different decline</w:t>
      </w:r>
      <w:r>
        <w:t xml:space="preserve"> </w:t>
      </w:r>
      <w:r>
        <w:t xml:space="preserve">magnitudes (-38.4% and -10.9%), while the slower 2013 detection</w:t>
      </w:r>
      <w:r>
        <w:t xml:space="preserve"> </w:t>
      </w:r>
      <w:r>
        <w:t xml:space="preserve">(9 days) sits at a milder decline (-14.6%) than 2020’s faster one.</w:t>
      </w:r>
      <w:r>
        <w:t xml:space="preserve"> </w:t>
      </w:r>
      <w:r>
        <w:t xml:space="preserve">Detection lag appears to track the</w:t>
      </w:r>
      <w:r>
        <w:t xml:space="preserve"> </w:t>
      </w:r>
      <w:r>
        <w:rPr>
          <w:iCs/>
          <w:i/>
        </w:rPr>
        <w:t xml:space="preserve">speed</w:t>
      </w:r>
      <w:r>
        <w:t xml:space="preserve"> </w:t>
      </w:r>
      <w:r>
        <w:t xml:space="preserve">of the underlying price</w:t>
      </w:r>
      <w:r>
        <w:t xml:space="preserve"> </w:t>
      </w:r>
      <w:r>
        <w:t xml:space="preserve">move more than its ultimate</w:t>
      </w:r>
      <w:r>
        <w:t xml:space="preserve"> </w:t>
      </w:r>
      <w:r>
        <w:rPr>
          <w:iCs/>
          <w:i/>
        </w:rPr>
        <w:t xml:space="preserve">depth</w:t>
      </w:r>
      <w:r>
        <w:t xml:space="preserve"> </w:t>
      </w:r>
      <w:r>
        <w:t xml:space="preserve">— consistent with the model’s</w:t>
      </w:r>
      <w:r>
        <w:t xml:space="preserve"> </w:t>
      </w:r>
      <w:r>
        <w:t xml:space="preserve">features being built on realized volatility and short-horizon returns,</w:t>
      </w:r>
      <w:r>
        <w:t xml:space="preserve"> </w:t>
      </w:r>
      <w:r>
        <w:t xml:space="preserve">which respond to how fast a decline happens, not directly to how deep</w:t>
      </w:r>
      <w:r>
        <w:t xml:space="preserve"> </w:t>
      </w:r>
      <w:r>
        <w:t xml:space="preserve">it eventually gets.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Recovery time does not scale linearly with decline depth either.</w:t>
      </w:r>
      <w:r>
        <w:t xml:space="preserve"> </w:t>
      </w:r>
      <w:r>
        <w:t xml:space="preserve">2024’s mildest decline (-10.9%) had the second-slowest recovery (278</w:t>
      </w:r>
      <w:r>
        <w:t xml:space="preserve"> </w:t>
      </w:r>
      <w:r>
        <w:t xml:space="preserve">days), well behind 2013’s much faster 34-day recovery from a deeper</w:t>
      </w:r>
      <w:r>
        <w:t xml:space="preserve"> </w:t>
      </w:r>
      <w:r>
        <w:t xml:space="preserve">(-14.6%) decline. This is a genuine, unexplained finding worth further</w:t>
      </w:r>
      <w:r>
        <w:t xml:space="preserve"> </w:t>
      </w:r>
      <w:r>
        <w:t xml:space="preserve">investigation, not a pattern the model or this report claims to</w:t>
      </w:r>
      <w:r>
        <w:t xml:space="preserve"> </w:t>
      </w:r>
      <w:r>
        <w:t xml:space="preserve">explain.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2008 data-availability gap is the single most important finding</w:t>
      </w:r>
      <w:r>
        <w:rPr>
          <w:bCs/>
          <w:b/>
        </w:rPr>
        <w:t xml:space="preserve"> </w:t>
      </w:r>
      <w:r>
        <w:rPr>
          <w:bCs/>
          <w:b/>
        </w:rPr>
        <w:t xml:space="preserve">in this report for anyone considering deploying this system.</w:t>
      </w:r>
      <w:r>
        <w:t xml:space="preserve"> </w:t>
      </w:r>
      <w:r>
        <w:t xml:space="preserve">A model</w:t>
      </w:r>
      <w:r>
        <w:t xml:space="preserve"> </w:t>
      </w:r>
      <w:r>
        <w:t xml:space="preserve">that cannot speak for the first 174 trading days of a real crisis, no</w:t>
      </w:r>
      <w:r>
        <w:t xml:space="preserve"> </w:t>
      </w:r>
      <w:r>
        <w:t xml:space="preserve">matter how accurate it is once warmed up, has a real blind spot that</w:t>
      </w:r>
      <w:r>
        <w:t xml:space="preserve"> </w:t>
      </w:r>
      <w:r>
        <w:t xml:space="preserve">matters more than any calibration statistic elsewhere in this</w:t>
      </w:r>
      <w:r>
        <w:t xml:space="preserve"> </w:t>
      </w:r>
      <w:r>
        <w:t xml:space="preserve">deliverable. A production deployment would need either a shorter</w:t>
      </w:r>
      <w:r>
        <w:t xml:space="preserve"> </w:t>
      </w:r>
      <w:r>
        <w:t xml:space="preserve">feature-warmup window, a fallback shorter-horizon model for the</w:t>
      </w:r>
      <w:r>
        <w:t xml:space="preserve"> </w:t>
      </w:r>
      <w:r>
        <w:t xml:space="preserve">cold-start period, or a clearly communicated</w:t>
      </w:r>
      <w:r>
        <w:t xml:space="preserve"> </w:t>
      </w:r>
      <w:r>
        <w:t xml:space="preserve">“</w:t>
      </w:r>
      <w:r>
        <w:t xml:space="preserve">not yet operational</w:t>
      </w:r>
      <w:r>
        <w:t xml:space="preserve">”</w:t>
      </w:r>
      <w:r>
        <w:t xml:space="preserve"> </w:t>
      </w:r>
      <w:r>
        <w:t xml:space="preserve">status during the warmup period.</w:t>
      </w:r>
    </w:p>
    <w:p>
      <w:r>
        <w:pict>
          <v:rect style="width:0;height:1.5pt" o:hralign="center" o:hrstd="t" o:hr="t"/>
        </w:pict>
      </w:r>
    </w:p>
    <w:bookmarkEnd w:id="37"/>
    <w:bookmarkStart w:id="38" w:name="methodology-note-and-honest-limitations"/>
    <w:p>
      <w:pPr>
        <w:pStyle w:val="Heading1"/>
      </w:pPr>
      <w:r>
        <w:t xml:space="preserve">Methodology Note and Honest Limitations</w:t>
      </w:r>
    </w:p>
    <w:p>
      <w:pPr>
        <w:numPr>
          <w:ilvl w:val="0"/>
          <w:numId w:val="1002"/>
        </w:numPr>
        <w:pStyle w:val="Compact"/>
      </w:pPr>
      <w:r>
        <w:t xml:space="preserve">Peak and trough dates are found by exhaustive search over each</w:t>
      </w:r>
      <w:r>
        <w:t xml:space="preserve"> </w:t>
      </w:r>
      <w:r>
        <w:t xml:space="preserve">episode’s full calendar search window (wider than the narrative</w:t>
      </w:r>
      <w:r>
        <w:t xml:space="preserve"> </w:t>
      </w:r>
      <w:r>
        <w:t xml:space="preserve">window), taking the single largest drawdown from a running peak. This</w:t>
      </w:r>
      <w:r>
        <w:t xml:space="preserve"> </w:t>
      </w:r>
      <w:r>
        <w:t xml:space="preserve">means the identified episode is the actual worst decline in that</w:t>
      </w:r>
      <w:r>
        <w:t xml:space="preserve"> </w:t>
      </w:r>
      <w:r>
        <w:t xml:space="preserve">window, not necessarily the specific narrative event described in</w:t>
      </w:r>
      <w:r>
        <w:t xml:space="preserve"> </w:t>
      </w:r>
      <w:r>
        <w:t xml:space="preserve">secondary sources (see the 2024 discussion above for a case where these</w:t>
      </w:r>
      <w:r>
        <w:t xml:space="preserve"> </w:t>
      </w:r>
      <w:r>
        <w:t xml:space="preserve">diverge).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Detection lag</w:t>
      </w:r>
      <w:r>
        <w:t xml:space="preserve">”</w:t>
      </w:r>
      <w:r>
        <w:t xml:space="preserve"> </w:t>
      </w:r>
      <w:r>
        <w:t xml:space="preserve">measures trading days from the price peak to the first</w:t>
      </w:r>
      <w:r>
        <w:t xml:space="preserve"> </w:t>
      </w:r>
      <w:r>
        <w:t xml:space="preserve">day the model’s regime call enters {Post-Shock, Risk-Off}. It does not</w:t>
      </w:r>
      <w:r>
        <w:t xml:space="preserve"> </w:t>
      </w:r>
      <w:r>
        <w:t xml:space="preserve">measure whether the model’s confidence was high on that first day, nor</w:t>
      </w:r>
      <w:r>
        <w:t xml:space="preserve"> </w:t>
      </w:r>
      <w:r>
        <w:t xml:space="preserve">whether it flickered back to a non-stress regime afterward before</w:t>
      </w:r>
      <w:r>
        <w:t xml:space="preserve"> </w:t>
      </w:r>
      <w:r>
        <w:t xml:space="preserve">settling — those dynamics are visible in</w:t>
      </w:r>
      <w:r>
        <w:t xml:space="preserve"> </w:t>
      </w:r>
      <w:r>
        <w:rPr>
          <w:rStyle w:val="VerbatimChar"/>
        </w:rPr>
        <w:t xml:space="preserve">outputs/full_hmm_regime_history.csv</w:t>
      </w:r>
      <w:r>
        <w:t xml:space="preserve"> </w:t>
      </w:r>
      <w:r>
        <w:t xml:space="preserve">but are not summarized further in this report.</w:t>
      </w:r>
    </w:p>
    <w:p>
      <w:pPr>
        <w:numPr>
          <w:ilvl w:val="0"/>
          <w:numId w:val="1002"/>
        </w:numPr>
        <w:pStyle w:val="Compact"/>
      </w:pPr>
      <w:r>
        <w:t xml:space="preserve">All figures in this report are computed by</w:t>
      </w:r>
      <w:r>
        <w:t xml:space="preserve"> </w:t>
      </w:r>
      <w:r>
        <w:rPr>
          <w:rStyle w:val="VerbatimChar"/>
        </w:rPr>
        <w:t xml:space="preserve">reporting/case_study_deep_dive.py</w:t>
      </w:r>
      <w:r>
        <w:t xml:space="preserve">, which is included in the delivered</w:t>
      </w:r>
      <w:r>
        <w:t xml:space="preserve"> </w:t>
      </w:r>
      <w:r>
        <w:t xml:space="preserve">codebase and can be re-run to reproduce every number here exactly.</w:t>
      </w:r>
    </w:p>
    <w:p>
      <w:pPr>
        <w:numPr>
          <w:ilvl w:val="0"/>
          <w:numId w:val="1002"/>
        </w:numPr>
        <w:pStyle w:val="Compact"/>
      </w:pPr>
      <w:r>
        <w:t xml:space="preserve">Auxiliary series (VIX, FII/DII flow, INR, Gilt) referenced in the</w:t>
      </w:r>
      <w:r>
        <w:t xml:space="preserve"> </w:t>
      </w:r>
      <w:r>
        <w:t xml:space="preserve">historical narratives above are documented, independently-sourced</w:t>
      </w:r>
      <w:r>
        <w:t xml:space="preserve"> </w:t>
      </w:r>
      <w:r>
        <w:t xml:space="preserve">historical facts about what happened in the real world during these</w:t>
      </w:r>
      <w:r>
        <w:t xml:space="preserve"> </w:t>
      </w:r>
      <w:r>
        <w:t xml:space="preserve">episodes — they are not derived from this build’s synthetic auxiliary</w:t>
      </w:r>
      <w:r>
        <w:t xml:space="preserve"> </w:t>
      </w:r>
      <w:r>
        <w:t xml:space="preserve">data series, which plays no role in this report’s price-based analysis.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Report — Regime Detection Against Real Indian Market History</dc:title>
  <dc:creator>Zetheta Algorithms Financial Data Analyst Assessment — Day 12 Deliverable</dc:creator>
  <cp:keywords/>
  <dcterms:created xsi:type="dcterms:W3CDTF">2026-09-15T03:20:45Z</dcterms:created>
  <dcterms:modified xsi:type="dcterms:W3CDTF">2026-09-15T03:20:45Z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13 September 2026</vt:lpwstr>
  </property>
</Properties>
</file>