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F4E79"/>
          <w:sz w:val="34"/>
        </w:rPr>
        <w:t>NORTHSTAR</w:t>
      </w:r>
    </w:p>
    <w:p>
      <w:pPr>
        <w:pStyle w:val="Title"/>
        <w:jc w:val="center"/>
      </w:pPr>
      <w:r>
        <w:t>EMPLOYEE RELATIONS &amp;</w:t>
        <w:br/>
        <w:t>HR POLICY HANDBOOK</w:t>
      </w:r>
    </w:p>
    <w:p>
      <w:pPr>
        <w:jc w:val="center"/>
      </w:pPr>
      <w:r>
        <w:rPr>
          <w:i/>
          <w:sz w:val="24"/>
        </w:rPr>
        <w:t>A fictional, India-focused policy book for the PeopleGuard AI academic project</w:t>
      </w:r>
    </w:p>
    <w:p>
      <w:pPr>
        <w:spacing w:before="560"/>
        <w:jc w:val="center"/>
      </w:pPr>
      <w:r>
        <w:rPr>
          <w:b/>
        </w:rPr>
        <w:t>Version 1.0  |  October 2026</w:t>
        <w:br/>
      </w:r>
      <w:r>
        <w:t>Applies to fictional Northstar Retail Services Pvt. Ltd.</w:t>
        <w:br/>
      </w:r>
      <w:r>
        <w:t>Illustrative policy document — not an actual company policy or legal opinion</w:t>
      </w:r>
    </w:p>
    <w:p>
      <w:r>
        <w:br w:type="page"/>
      </w:r>
    </w:p>
    <w:p>
      <w:pPr>
        <w:pStyle w:val="Heading1"/>
      </w:pPr>
      <w:r>
        <w:t>Important Notice: Academic Use Only</w:t>
      </w:r>
    </w:p>
    <w:p>
      <w:r>
        <w:t>This handbook is fictional and has been created as a test knowledge base for PeopleGuard AI. Northstar Retail Services Pvt. Ltd. does not represent a real employer. The document is designed around Indian employment-law principles and the central labour-code framework as reported by the Government of India, but it is not a certification of legal compliance.</w:t>
      </w:r>
    </w:p>
    <w:p>
      <w:r>
        <w:t>Indian employment obligations can vary by state or Union Territory, establishment type, workforce category, headcount, applicable notifications, rules, standing orders, collective agreements and individual employment terms. Before real-world use, an Indian employment-law professional and the organisation's HR/compliance team must verify every clause against the law and rules in force for the relevant location and date.</w:t>
      </w:r>
    </w:p>
    <w:p>
      <w:r>
        <w:t>For the project, the AI must treat this handbook as a fictional employer policy, not as proof of what Indian law requires. If a policy clause conflicts with applicable law, the law prevails. If the relevant law, state rule or factual detail cannot be verified, the system must flag the issue for human review rather than guessing.</w:t>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D9EAF7"/>
          </w:tcPr>
          <w:p>
            <w:r/>
            <w:r>
              <w:rPr>
                <w:rFonts w:ascii="Aptos" w:hAnsi="Aptos"/>
                <w:b/>
                <w:sz w:val="17"/>
              </w:rPr>
              <w:t>Document owner</w:t>
            </w:r>
          </w:p>
        </w:tc>
        <w:tc>
          <w:tcPr>
            <w:tcW w:type="dxa" w:w="4968"/>
            <w:vAlign w:val="center"/>
          </w:tcPr>
          <w:p>
            <w:r/>
            <w:r>
              <w:rPr>
                <w:rFonts w:ascii="Aptos" w:hAnsi="Aptos"/>
                <w:b w:val="0"/>
                <w:sz w:val="17"/>
              </w:rPr>
              <w:t>People &amp; Culture — Employee Relations</w:t>
            </w:r>
          </w:p>
        </w:tc>
      </w:tr>
      <w:tr>
        <w:trPr>
          <w:cantSplit/>
        </w:trPr>
        <w:tc>
          <w:tcPr>
            <w:tcW w:type="dxa" w:w="4968"/>
            <w:vAlign w:val="center"/>
            <w:shd w:fill="D9EAF7"/>
          </w:tcPr>
          <w:p>
            <w:r/>
            <w:r>
              <w:rPr>
                <w:rFonts w:ascii="Aptos" w:hAnsi="Aptos"/>
                <w:b/>
                <w:sz w:val="17"/>
              </w:rPr>
              <w:t>Version / date</w:t>
            </w:r>
          </w:p>
        </w:tc>
        <w:tc>
          <w:tcPr>
            <w:tcW w:type="dxa" w:w="4968"/>
            <w:vAlign w:val="center"/>
          </w:tcPr>
          <w:p>
            <w:r/>
            <w:r>
              <w:rPr>
                <w:rFonts w:ascii="Aptos" w:hAnsi="Aptos"/>
                <w:b w:val="0"/>
                <w:sz w:val="17"/>
              </w:rPr>
              <w:t>1.0 / October 2026</w:t>
            </w:r>
          </w:p>
        </w:tc>
      </w:tr>
      <w:tr>
        <w:trPr>
          <w:cantSplit/>
        </w:trPr>
        <w:tc>
          <w:tcPr>
            <w:tcW w:type="dxa" w:w="4968"/>
            <w:vAlign w:val="center"/>
            <w:shd w:fill="D9EAF7"/>
          </w:tcPr>
          <w:p>
            <w:r/>
            <w:r>
              <w:rPr>
                <w:rFonts w:ascii="Aptos" w:hAnsi="Aptos"/>
                <w:b/>
                <w:sz w:val="17"/>
              </w:rPr>
              <w:t>Policy scope</w:t>
            </w:r>
          </w:p>
        </w:tc>
        <w:tc>
          <w:tcPr>
            <w:tcW w:type="dxa" w:w="4968"/>
            <w:vAlign w:val="center"/>
          </w:tcPr>
          <w:p>
            <w:r/>
            <w:r>
              <w:rPr>
                <w:rFonts w:ascii="Aptos" w:hAnsi="Aptos"/>
                <w:b w:val="0"/>
                <w:sz w:val="17"/>
              </w:rPr>
              <w:t>Fictional India operations; office and retail-store employees</w:t>
            </w:r>
          </w:p>
        </w:tc>
      </w:tr>
      <w:tr>
        <w:trPr>
          <w:cantSplit/>
        </w:trPr>
        <w:tc>
          <w:tcPr>
            <w:tcW w:type="dxa" w:w="4968"/>
            <w:vAlign w:val="center"/>
            <w:shd w:fill="D9EAF7"/>
          </w:tcPr>
          <w:p>
            <w:r/>
            <w:r>
              <w:rPr>
                <w:rFonts w:ascii="Aptos" w:hAnsi="Aptos"/>
                <w:b/>
                <w:sz w:val="17"/>
              </w:rPr>
              <w:t>Review cycle</w:t>
            </w:r>
          </w:p>
        </w:tc>
        <w:tc>
          <w:tcPr>
            <w:tcW w:type="dxa" w:w="4968"/>
            <w:vAlign w:val="center"/>
          </w:tcPr>
          <w:p>
            <w:r/>
            <w:r>
              <w:rPr>
                <w:rFonts w:ascii="Aptos" w:hAnsi="Aptos"/>
                <w:b w:val="0"/>
                <w:sz w:val="17"/>
              </w:rPr>
              <w:t>At least annually, and whenever applicable law or rules change</w:t>
            </w:r>
          </w:p>
        </w:tc>
      </w:tr>
      <w:tr>
        <w:trPr>
          <w:cantSplit/>
        </w:trPr>
        <w:tc>
          <w:tcPr>
            <w:tcW w:type="dxa" w:w="4968"/>
            <w:vAlign w:val="center"/>
            <w:shd w:fill="D9EAF7"/>
          </w:tcPr>
          <w:p>
            <w:r/>
            <w:r>
              <w:rPr>
                <w:rFonts w:ascii="Aptos" w:hAnsi="Aptos"/>
                <w:b/>
                <w:sz w:val="17"/>
              </w:rPr>
              <w:t>Approval status</w:t>
            </w:r>
          </w:p>
        </w:tc>
        <w:tc>
          <w:tcPr>
            <w:tcW w:type="dxa" w:w="4968"/>
            <w:vAlign w:val="center"/>
          </w:tcPr>
          <w:p>
            <w:r/>
            <w:r>
              <w:rPr>
                <w:rFonts w:ascii="Aptos" w:hAnsi="Aptos"/>
                <w:b w:val="0"/>
                <w:sz w:val="17"/>
              </w:rPr>
              <w:t>Academic prototype — not approved for actual employment use</w:t>
            </w:r>
          </w:p>
        </w:tc>
      </w:tr>
      <w:tr>
        <w:trPr>
          <w:cantSplit/>
        </w:trPr>
        <w:tc>
          <w:tcPr>
            <w:tcW w:type="dxa" w:w="4968"/>
            <w:vAlign w:val="center"/>
            <w:shd w:fill="D9EAF7"/>
          </w:tcPr>
          <w:p>
            <w:r/>
            <w:r>
              <w:rPr>
                <w:rFonts w:ascii="Aptos" w:hAnsi="Aptos"/>
                <w:b/>
                <w:sz w:val="17"/>
              </w:rPr>
              <w:t>Confidentiality</w:t>
            </w:r>
          </w:p>
        </w:tc>
        <w:tc>
          <w:tcPr>
            <w:tcW w:type="dxa" w:w="4968"/>
            <w:vAlign w:val="center"/>
          </w:tcPr>
          <w:p>
            <w:r/>
            <w:r>
              <w:rPr>
                <w:rFonts w:ascii="Aptos" w:hAnsi="Aptos"/>
                <w:b w:val="0"/>
                <w:sz w:val="17"/>
              </w:rPr>
              <w:t>Internal-use simulation; use synthetic data only</w:t>
            </w:r>
          </w:p>
        </w:tc>
      </w:tr>
    </w:tbl>
    <w:p>
      <w:pPr>
        <w:pStyle w:val="Heading1"/>
      </w:pPr>
      <w:r>
        <w:t>Contents</w:t>
      </w:r>
    </w:p>
    <w:p>
      <w:pPr>
        <w:pStyle w:val="ListBullet"/>
        <w:spacing w:after="40"/>
      </w:pPr>
      <w:r>
        <w:t>1. Purpose, Scope and Guiding Principles</w:t>
      </w:r>
    </w:p>
    <w:p>
      <w:pPr>
        <w:pStyle w:val="ListBullet"/>
        <w:spacing w:after="40"/>
      </w:pPr>
      <w:r>
        <w:t>2. Employment Records and Fair Treatment</w:t>
      </w:r>
    </w:p>
    <w:p>
      <w:pPr>
        <w:pStyle w:val="ListBullet"/>
        <w:spacing w:after="40"/>
      </w:pPr>
      <w:r>
        <w:t>3. Working Hours, Attendance, Rest and Overtime</w:t>
      </w:r>
    </w:p>
    <w:p>
      <w:pPr>
        <w:pStyle w:val="ListBullet"/>
        <w:spacing w:after="40"/>
      </w:pPr>
      <w:r>
        <w:t>4. Wages, Payslips and Deductions</w:t>
      </w:r>
    </w:p>
    <w:p>
      <w:pPr>
        <w:pStyle w:val="ListBullet"/>
        <w:spacing w:after="40"/>
      </w:pPr>
      <w:r>
        <w:t>5. Leave, Holidays and Absence</w:t>
      </w:r>
    </w:p>
    <w:p>
      <w:pPr>
        <w:pStyle w:val="ListBullet"/>
        <w:spacing w:after="40"/>
      </w:pPr>
      <w:r>
        <w:t>6. Maternity, Parental Support and Equal Opportunity</w:t>
      </w:r>
    </w:p>
    <w:p>
      <w:pPr>
        <w:pStyle w:val="ListBullet"/>
        <w:spacing w:after="40"/>
      </w:pPr>
      <w:r>
        <w:t>7. Workplace Safety, Health and Wellbeing</w:t>
      </w:r>
    </w:p>
    <w:p>
      <w:pPr>
        <w:pStyle w:val="ListBullet"/>
        <w:spacing w:after="40"/>
      </w:pPr>
      <w:r>
        <w:t>8. Prevention of Sexual Harassment (POSH)</w:t>
      </w:r>
    </w:p>
    <w:p>
      <w:pPr>
        <w:pStyle w:val="ListBullet"/>
        <w:spacing w:after="40"/>
      </w:pPr>
      <w:r>
        <w:t>9. Grievance Redressal and Employee Relations</w:t>
      </w:r>
    </w:p>
    <w:p>
      <w:pPr>
        <w:pStyle w:val="ListBullet"/>
        <w:spacing w:after="40"/>
      </w:pPr>
      <w:r>
        <w:t>10. Conduct, Fact-Finding and Disciplinary Process</w:t>
      </w:r>
    </w:p>
    <w:p>
      <w:pPr>
        <w:pStyle w:val="ListBullet"/>
        <w:spacing w:after="40"/>
      </w:pPr>
      <w:r>
        <w:t>11. Resignation, Separation and Final Settlement</w:t>
      </w:r>
    </w:p>
    <w:p>
      <w:pPr>
        <w:pStyle w:val="ListBullet"/>
        <w:spacing w:after="40"/>
      </w:pPr>
      <w:r>
        <w:t>12. Social Security and Benefits</w:t>
      </w:r>
    </w:p>
    <w:p>
      <w:pPr>
        <w:pStyle w:val="ListBullet"/>
        <w:spacing w:after="40"/>
      </w:pPr>
      <w:r>
        <w:t>13. Employee Data, Confidentiality and Records</w:t>
      </w:r>
    </w:p>
    <w:p>
      <w:pPr>
        <w:pStyle w:val="ListBullet"/>
        <w:spacing w:after="40"/>
      </w:pPr>
      <w:r>
        <w:t>14. Roles, Escalation and Recordkeeping</w:t>
      </w:r>
    </w:p>
    <w:p>
      <w:pPr>
        <w:pStyle w:val="ListBullet"/>
        <w:spacing w:after="40"/>
      </w:pPr>
      <w:r>
        <w:t>Appendix A. PeopleGuard AI Case-Handling Rules</w:t>
      </w:r>
    </w:p>
    <w:p>
      <w:pPr>
        <w:pStyle w:val="ListBullet"/>
        <w:spacing w:after="40"/>
      </w:pPr>
      <w:r>
        <w:t>Appendix B. Synthetic Example Cases</w:t>
      </w:r>
    </w:p>
    <w:p>
      <w:pPr>
        <w:pStyle w:val="ListBullet"/>
        <w:spacing w:after="40"/>
      </w:pPr>
      <w:r>
        <w:t>Appendix C. Legal Reference Map and Verification Checklist</w:t>
      </w:r>
    </w:p>
    <w:p>
      <w:r>
        <w:br w:type="page"/>
      </w:r>
    </w:p>
    <w:p>
      <w:pPr>
        <w:pStyle w:val="Heading1"/>
      </w:pPr>
      <w:r>
        <w:t>1. Purpose, Scope and Guiding Principles</w:t>
      </w:r>
    </w:p>
    <w:p>
      <w:pPr>
        <w:pStyle w:val="Heading2"/>
      </w:pPr>
      <w:r>
        <w:t>1.1 Purpose</w:t>
      </w:r>
    </w:p>
    <w:p>
      <w:r>
        <w:t>This handbook sets out Northstar's fictional minimum standards for fair, respectful, safe and consistent employment practices. It is intended to guide employees, people managers and HR personnel in everyday employment matters and to provide a controlled document set for testing the PeopleGuard AI system.</w:t>
      </w:r>
    </w:p>
    <w:p>
      <w:pPr>
        <w:pStyle w:val="Heading2"/>
      </w:pPr>
      <w:r>
        <w:t>1.2 Scope</w:t>
      </w:r>
    </w:p>
    <w:p>
      <w:r>
        <w:t>The handbook applies to fictional Northstar employees in corporate offices, warehouses and retail stores in India. The exact legal treatment of apprentices, trainees, fixed-term employees, contract labour, managerial staff and other categories may differ. HR must confirm the applicable law and employment terms for each case.</w:t>
      </w:r>
    </w:p>
    <w:p>
      <w:pPr>
        <w:pStyle w:val="Heading2"/>
      </w:pPr>
      <w:r>
        <w:t>1.3 Guiding principles</w:t>
      </w:r>
    </w:p>
    <w:p>
      <w:pPr>
        <w:pStyle w:val="ListBullet"/>
        <w:spacing w:after="40"/>
      </w:pPr>
      <w:r>
        <w:t>Respect and dignity: everyone must be treated professionally and without unlawful discrimination, harassment, intimidation or retaliation.</w:t>
      </w:r>
    </w:p>
    <w:p>
      <w:pPr>
        <w:pStyle w:val="ListBullet"/>
        <w:spacing w:after="40"/>
      </w:pPr>
      <w:r>
        <w:t>Fair process: concerns will be considered impartially, on the basis of available evidence and a reasonable opportunity for relevant people to respond.</w:t>
      </w:r>
    </w:p>
    <w:p>
      <w:pPr>
        <w:pStyle w:val="ListBullet"/>
        <w:spacing w:after="40"/>
      </w:pPr>
      <w:r>
        <w:t>No prejudgment: a complaint is an allegation until examined; raising a complaint does not prove it, and lack of evidence does not automatically prove bad faith.</w:t>
      </w:r>
    </w:p>
    <w:p>
      <w:pPr>
        <w:pStyle w:val="ListBullet"/>
        <w:spacing w:after="40"/>
      </w:pPr>
      <w:r>
        <w:t>Confidentiality: information is shared only with people who need it for a legitimate handling purpose, subject to legal obligations and procedural fairness.</w:t>
      </w:r>
    </w:p>
    <w:p>
      <w:pPr>
        <w:pStyle w:val="ListBullet"/>
        <w:spacing w:after="40"/>
      </w:pPr>
      <w:r>
        <w:t>Legal precedence: applicable legislation, rules, notifications, court orders and binding employment terms prevail over this handbook.</w:t>
      </w:r>
    </w:p>
    <w:p>
      <w:pPr>
        <w:pStyle w:val="ListBullet"/>
        <w:spacing w:after="40"/>
      </w:pPr>
      <w:r>
        <w:t>Human accountability: employment decisions with material consequences must be made by authorised people, not by an AI system alone.</w:t>
      </w:r>
    </w:p>
    <w:p>
      <w:pPr>
        <w:pStyle w:val="Heading2"/>
      </w:pPr>
      <w:r>
        <w:t>1.4 No waiver of statutory rights</w:t>
      </w:r>
    </w:p>
    <w:p>
      <w:r>
        <w:t>Nothing in this handbook is intended to reduce any statutory right or benefit. Where law provides a more favourable or mandatory protection, Northstar will follow the applicable legal requirement.</w:t>
      </w:r>
    </w:p>
    <w:p>
      <w:pPr>
        <w:pStyle w:val="Heading1"/>
      </w:pPr>
      <w:r>
        <w:t>2. Employment Records and Fair Treatment</w:t>
      </w:r>
    </w:p>
    <w:p>
      <w:pPr>
        <w:pStyle w:val="Heading2"/>
      </w:pPr>
      <w:r>
        <w:t>2.1 Written employment information</w:t>
      </w:r>
    </w:p>
    <w:p>
      <w:r>
        <w:t>At joining, HR should provide the employee with written or digitally accessible information about role, reporting line, work location, wage/salary structure, working arrangements, applicable policies, leave process and grievance channels. Any statutory appointment letter or employment record must be issued in the form and time required by applicable law.</w:t>
      </w:r>
    </w:p>
    <w:p>
      <w:pPr>
        <w:pStyle w:val="Heading2"/>
      </w:pPr>
      <w:r>
        <w:t>2.2 Equal opportunity and non-discrimination</w:t>
      </w:r>
    </w:p>
    <w:p>
      <w:r>
        <w:t>Northstar prohibits unlawful discrimination in recruitment, work allocation, training, compensation, promotion, discipline and separation. Decisions should be based on role-related criteria and documented evidence. Managers must not retaliate against an employee for raising a concern in good faith or participating in a lawful inquiry.</w:t>
      </w:r>
    </w:p>
    <w:p>
      <w:pPr>
        <w:pStyle w:val="Heading2"/>
      </w:pPr>
      <w:r>
        <w:t>2.3 Reasonable accommodation and support</w:t>
      </w:r>
    </w:p>
    <w:p>
      <w:r>
        <w:t>Employees who request support related to disability, pregnancy, health, religion or another protected or legally relevant circumstance should be referred to HR for an individual assessment under applicable law and policy. Managers must not make assumptions or request unnecessary sensitive information.</w:t>
      </w:r>
    </w:p>
    <w:p>
      <w:pPr>
        <w:pStyle w:val="Heading2"/>
      </w:pPr>
      <w:r>
        <w:t>2.4 Conflicts of interest and respectful conduct</w:t>
      </w:r>
    </w:p>
    <w:p>
      <w:r>
        <w:t>Employees must disclose material conflicts of interest and avoid abusive, threatening or humiliating conduct. Managers are expected to address performance concerns privately, consistently and respectfully.</w:t>
      </w:r>
    </w:p>
    <w:p>
      <w:pPr>
        <w:pStyle w:val="Heading1"/>
      </w:pPr>
      <w:r>
        <w:t>3. Working Hours, Attendance, Rest and Overtime</w:t>
      </w:r>
    </w:p>
    <w:p>
      <w:pPr>
        <w:pStyle w:val="Heading2"/>
      </w:pPr>
      <w:r>
        <w:t>3.1 Work schedules</w:t>
      </w:r>
    </w:p>
    <w:p>
      <w:r>
        <w:t>Each location must maintain a written roster showing normal working hours, weekly rest days, shift timings and rest intervals. Schedules must be checked against applicable central and state/UT rules, establishment-specific requirements and any valid exemptions. A single national schedule must not be assumed to apply to every Northstar location.</w:t>
      </w:r>
    </w:p>
    <w:p>
      <w:pPr>
        <w:pStyle w:val="Heading2"/>
      </w:pPr>
      <w:r>
        <w:t>3.2 Attendance records</w:t>
      </w:r>
    </w:p>
    <w:p>
      <w:r>
        <w:t>Employees must record attendance using the approved system and notify their manager promptly about errors or missed punches. Managers must not alter attendance records to conceal hours worked. Corrections must include a reason, date and approver.</w:t>
      </w:r>
    </w:p>
    <w:p>
      <w:pPr>
        <w:pStyle w:val="Heading2"/>
      </w:pPr>
      <w:r>
        <w:t>3.3 Overtime</w:t>
      </w:r>
    </w:p>
    <w:p>
      <w:r>
        <w:t>Overtime must be approved and recorded accurately. HR/payroll must verify eligibility, applicable working-hour limits, consent requirements where relevant, and the legally required rate of payment for the employee's category and location before processing. The system must not infer that overtime is unpaid merely because a manager did not approve it; actual hours and applicable law must be reviewed.</w:t>
      </w:r>
    </w:p>
    <w:p>
      <w:pPr>
        <w:pStyle w:val="Heading2"/>
      </w:pPr>
      <w:r>
        <w:t>3.4 Rest days, intervals and night work</w:t>
      </w:r>
    </w:p>
    <w:p>
      <w:r>
        <w:t>Managers must ensure applicable daily/weekly limits, rest intervals, weekly rest and night-work safeguards are followed. Any permitted night work, including for women where applicable, must meet statutory conditions and required safety, transport, consent or other safeguards.</w:t>
      </w:r>
    </w:p>
    <w:p>
      <w:pPr>
        <w:pStyle w:val="Heading2"/>
      </w:pPr>
      <w:r>
        <w:t>3.5 No off-the-clock work</w:t>
      </w:r>
    </w:p>
    <w:p>
      <w:r>
        <w:t>Employees must not be required to perform work off the clock. If work was performed, it must be recorded and referred to HR/payroll for review even if there is a dispute about prior approval.</w:t>
      </w:r>
    </w:p>
    <w:p>
      <w:pPr>
        <w:pStyle w:val="Heading1"/>
      </w:pPr>
      <w:r>
        <w:t>4. Wages, Payslips and Deductions</w:t>
      </w:r>
    </w:p>
    <w:p>
      <w:pPr>
        <w:pStyle w:val="Heading2"/>
      </w:pPr>
      <w:r>
        <w:t>4.1 Wage payment</w:t>
      </w:r>
    </w:p>
    <w:p>
      <w:r>
        <w:t>Wages and salary will be paid through the designated payroll process within the time limits applicable to the employee and establishment. HR/payroll must check current legal requirements for wage periods, payment deadlines, minimum wages, wage definitions and records.</w:t>
      </w:r>
    </w:p>
    <w:p>
      <w:pPr>
        <w:pStyle w:val="Heading2"/>
      </w:pPr>
      <w:r>
        <w:t>4.2 Minimum wages and wage structure</w:t>
      </w:r>
    </w:p>
    <w:p>
      <w:r>
        <w:t>No employee covered by a notified minimum-wage requirement will be paid below the applicable rate. Because rates and classifications may vary by state/UT, occupation, skill category and notification date, payroll must use the current applicable schedule rather than a static national figure.</w:t>
      </w:r>
    </w:p>
    <w:p>
      <w:pPr>
        <w:pStyle w:val="Heading2"/>
      </w:pPr>
      <w:r>
        <w:t>4.3 Payslips and questions</w:t>
      </w:r>
    </w:p>
    <w:p>
      <w:r>
        <w:t>Employees should receive an understandable wage statement showing relevant earnings and deductions. Questions about missing pay, overtime, incentives or deductions may be raised with HR/payroll without retaliation.</w:t>
      </w:r>
    </w:p>
    <w:p>
      <w:pPr>
        <w:pStyle w:val="Heading2"/>
      </w:pPr>
      <w:r>
        <w:t>4.4 Deductions</w:t>
      </w:r>
    </w:p>
    <w:p>
      <w:r>
        <w:t>Only deductions permitted by applicable law and supported by required authorisation or documentation may be made. Managers must not impose informal fines, withhold wages as punishment, or make deductions to settle a grievance without lawful basis.</w:t>
      </w:r>
    </w:p>
    <w:p>
      <w:pPr>
        <w:pStyle w:val="Heading2"/>
      </w:pPr>
      <w:r>
        <w:t>4.5 Pay discrepancy handling</w:t>
      </w:r>
    </w:p>
    <w:p>
      <w:pPr>
        <w:pStyle w:val="ListNumber"/>
        <w:spacing w:after="40"/>
      </w:pPr>
      <w:r>
        <w:t>Log the employee's concern and the wage period involved.</w:t>
      </w:r>
    </w:p>
    <w:p>
      <w:pPr>
        <w:pStyle w:val="ListNumber"/>
        <w:spacing w:after="40"/>
      </w:pPr>
      <w:r>
        <w:t>Collect the relevant payslip, attendance, roster, overtime approval/record and payroll calculation.</w:t>
      </w:r>
    </w:p>
    <w:p>
      <w:pPr>
        <w:pStyle w:val="ListNumber"/>
        <w:spacing w:after="40"/>
      </w:pPr>
      <w:r>
        <w:t>Compare the records with the applicable wage rules and employment terms.</w:t>
      </w:r>
    </w:p>
    <w:p>
      <w:pPr>
        <w:pStyle w:val="ListNumber"/>
        <w:spacing w:after="40"/>
      </w:pPr>
      <w:r>
        <w:t>Correct verified errors promptly and communicate the outcome in writing.</w:t>
      </w:r>
    </w:p>
    <w:p>
      <w:pPr>
        <w:pStyle w:val="ListNumber"/>
        <w:spacing w:after="40"/>
      </w:pPr>
      <w:r>
        <w:t>Escalate disputed legal interpretation or repeated discrepancies to HR/compliance and payroll leadership.</w:t>
      </w:r>
    </w:p>
    <w:p>
      <w:pPr>
        <w:pStyle w:val="Heading1"/>
      </w:pPr>
      <w:r>
        <w:t>5. Leave, Holidays and Absence</w:t>
      </w:r>
    </w:p>
    <w:p>
      <w:pPr>
        <w:pStyle w:val="Heading2"/>
      </w:pPr>
      <w:r>
        <w:t>5.1 Leave categories</w:t>
      </w:r>
    </w:p>
    <w:p>
      <w:r>
        <w:t>Northstar's fictional leave categories may include earned/privilege leave, casual leave, sick leave, public/festival holidays and legally protected leave. Exact entitlements, accrual, carry-forward, encashment, eligibility and notice requirements must be configured for the relevant state/UT and employee category.</w:t>
      </w:r>
    </w:p>
    <w:p>
      <w:pPr>
        <w:pStyle w:val="Heading2"/>
      </w:pPr>
      <w:r>
        <w:t>5.2 Leave requests</w:t>
      </w:r>
    </w:p>
    <w:p>
      <w:r>
        <w:t>Employees should submit leave requests through the approved channel where practicable. Managers should assess requests consistently, consider staffing needs and applicable statutory protections, and provide a timely response. Statutory or protected leave must not be denied merely because a team is busy.</w:t>
      </w:r>
    </w:p>
    <w:p>
      <w:pPr>
        <w:pStyle w:val="Heading2"/>
      </w:pPr>
      <w:r>
        <w:t>5.3 Illness and emergencies</w:t>
      </w:r>
    </w:p>
    <w:p>
      <w:r>
        <w:t>Employees should notify their manager as soon as reasonably possible when illness or an emergency prevents attendance. HR should request only information reasonably necessary to administer leave and should protect medical information.</w:t>
      </w:r>
    </w:p>
    <w:p>
      <w:pPr>
        <w:pStyle w:val="Heading2"/>
      </w:pPr>
      <w:r>
        <w:t>5.4 Absence without notice</w:t>
      </w:r>
    </w:p>
    <w:p>
      <w:r>
        <w:t>A period of unexplained absence should trigger a welfare check and a request for the employee to make contact, not an automatic conclusion of abandonment or misconduct. Before adverse action, HR must review the facts, prior contact attempts, any explanation and the applicable process.</w:t>
      </w:r>
    </w:p>
    <w:p>
      <w:pPr>
        <w:pStyle w:val="Heading2"/>
      </w:pPr>
      <w:r>
        <w:t>5.5 Holiday and leave disputes</w:t>
      </w:r>
    </w:p>
    <w:p>
      <w:r>
        <w:t>Where an employee disputes a leave balance, rejected request or holiday payment, HR should review the roster, attendance, leave ledger, applicable rules and written communications before deciding the issue.</w:t>
      </w:r>
    </w:p>
    <w:p>
      <w:pPr>
        <w:pStyle w:val="Heading1"/>
      </w:pPr>
      <w:r>
        <w:t>6. Maternity, Parental Support and Equal Opportunity</w:t>
      </w:r>
    </w:p>
    <w:p>
      <w:pPr>
        <w:pStyle w:val="Heading2"/>
      </w:pPr>
      <w:r>
        <w:t>6.1 Maternity and related statutory benefits</w:t>
      </w:r>
    </w:p>
    <w:p>
      <w:r>
        <w:t>Eligible employees will receive maternity and related benefits in accordance with the law applicable to the establishment and employee, including eligibility conditions, duration, documentation, nursing breaks and other applicable protections. HR must verify current provisions and rules before confirming an individual entitlement.</w:t>
      </w:r>
    </w:p>
    <w:p>
      <w:pPr>
        <w:pStyle w:val="Heading2"/>
      </w:pPr>
      <w:r>
        <w:t>6.2 Pregnancy-related fairness</w:t>
      </w:r>
    </w:p>
    <w:p>
      <w:r>
        <w:t>Pregnancy or a request for a legally protected maternity benefit must not be used as a negative factor in performance evaluation, scheduling, promotion or continued employment. Any work-related adjustment must be considered through HR and handled confidentially.</w:t>
      </w:r>
    </w:p>
    <w:p>
      <w:pPr>
        <w:pStyle w:val="Heading2"/>
      </w:pPr>
      <w:r>
        <w:t>6.3 Nursing and childcare support</w:t>
      </w:r>
    </w:p>
    <w:p>
      <w:r>
        <w:t>Where statutory conditions for nursing breaks, crèche facilities or related support are met, HR must ensure the required arrangements are available. Applicability depends on current law, workforce count and relevant rules.</w:t>
      </w:r>
    </w:p>
    <w:p>
      <w:pPr>
        <w:pStyle w:val="Heading2"/>
      </w:pPr>
      <w:r>
        <w:t>6.4 Other parental and caregiving leave</w:t>
      </w:r>
    </w:p>
    <w:p>
      <w:r>
        <w:t>Any paternity, adoption, childcare or other parental leave provided by Northstar beyond a statutory entitlement will be set out in a separate approved schedule. HR must clearly distinguish company-provided benefits from statutory entitlements.</w:t>
      </w:r>
    </w:p>
    <w:p>
      <w:pPr>
        <w:pStyle w:val="Heading2"/>
      </w:pPr>
      <w:r>
        <w:t>6.5 Equal pay and fair opportunity</w:t>
      </w:r>
    </w:p>
    <w:p>
      <w:r>
        <w:t>Compensation and employment decisions must comply with applicable equal-remuneration and non-discrimination requirements. Any suspected pay disparity should be reviewed using role, experience, performance, location and other legitimate factors, without assuming that a difference is lawful or unlawful before examination.</w:t>
      </w:r>
    </w:p>
    <w:p>
      <w:pPr>
        <w:pStyle w:val="Heading1"/>
      </w:pPr>
      <w:r>
        <w:t>7. Workplace Safety, Health and Wellbeing</w:t>
      </w:r>
    </w:p>
    <w:p>
      <w:pPr>
        <w:pStyle w:val="Heading2"/>
      </w:pPr>
      <w:r>
        <w:t>7.1 Safe workplace</w:t>
      </w:r>
    </w:p>
    <w:p>
      <w:r>
        <w:t>Northstar will take reasonable steps to maintain a safe and healthy workplace, report hazards, maintain required records and meet applicable occupational safety and health obligations.</w:t>
      </w:r>
    </w:p>
    <w:p>
      <w:pPr>
        <w:pStyle w:val="Heading2"/>
      </w:pPr>
      <w:r>
        <w:t>7.2 Reporting hazards and incidents</w:t>
      </w:r>
    </w:p>
    <w:p>
      <w:r>
        <w:t>Employees should report injuries, near misses, unsafe equipment, fire hazards, threats or other workplace risks promptly. Managers must take immediate protective steps where necessary and notify the designated safety/HR contact.</w:t>
      </w:r>
    </w:p>
    <w:p>
      <w:pPr>
        <w:pStyle w:val="Heading2"/>
      </w:pPr>
      <w:r>
        <w:t>7.3 No retaliation</w:t>
      </w:r>
    </w:p>
    <w:p>
      <w:r>
        <w:t>No employee should be punished for raising a safety concern in good faith or participating in a lawful safety inquiry.</w:t>
      </w:r>
    </w:p>
    <w:p>
      <w:pPr>
        <w:pStyle w:val="Heading2"/>
      </w:pPr>
      <w:r>
        <w:t>7.4 Emergency and serious risk</w:t>
      </w:r>
    </w:p>
    <w:p>
      <w:r>
        <w:t>Where there is an immediate risk of serious harm, the priority is to contact local emergency services or the designated site emergency response, secure the area where safe to do so, and notify authorised management. An AI tool must never delay emergency action.</w:t>
      </w:r>
    </w:p>
    <w:p>
      <w:pPr>
        <w:pStyle w:val="Heading2"/>
      </w:pPr>
      <w:r>
        <w:t>7.5 Wellbeing and support</w:t>
      </w:r>
    </w:p>
    <w:p>
      <w:r>
        <w:t>Employees may seek confidential support from HR or the designated wellbeing channel. Managers should not diagnose medical conditions or circulate health information unnecessarily.</w:t>
      </w:r>
    </w:p>
    <w:p>
      <w:pPr>
        <w:pStyle w:val="Heading1"/>
      </w:pPr>
      <w:r>
        <w:t>8. Prevention of Sexual Harassment (POSH)</w:t>
      </w:r>
    </w:p>
    <w:p>
      <w:pPr>
        <w:pStyle w:val="Heading2"/>
      </w:pPr>
      <w:r>
        <w:t>8.1 Zero tolerance</w:t>
      </w:r>
    </w:p>
    <w:p>
      <w:r>
        <w:t>Sexual harassment is prohibited. Northstar will follow the applicable law, including the Sexual Harassment of Women at Workplace (Prevention, Prohibition and Redressal) Act, 2013 and applicable rules, as amended or interpreted by competent authorities.</w:t>
      </w:r>
    </w:p>
    <w:p>
      <w:pPr>
        <w:pStyle w:val="Heading2"/>
      </w:pPr>
      <w:r>
        <w:t>8.2 Reporting channels</w:t>
      </w:r>
    </w:p>
    <w:p>
      <w:r>
        <w:t>A person may raise a concern through the Internal Committee (IC) where constituted, the designated HR contact or another lawful channel. HR must route matters to the legally designated mechanism and must not substitute an ordinary manager-led grievance process for a process required by law.</w:t>
      </w:r>
    </w:p>
    <w:p>
      <w:pPr>
        <w:pStyle w:val="Heading2"/>
      </w:pPr>
      <w:r>
        <w:t>8.3 Internal Committee and process</w:t>
      </w:r>
    </w:p>
    <w:p>
      <w:r>
        <w:t>Where required, the employer will constitute and maintain an Internal Committee meeting statutory composition and other requirements. Complaints, time limits, conciliation, inquiry, interim relief, confidentiality, recommendations and action must be handled in accordance with applicable law. The AI system must not conduct the statutory inquiry or decide whether harassment occurred.</w:t>
      </w:r>
    </w:p>
    <w:p>
      <w:pPr>
        <w:pStyle w:val="Heading2"/>
      </w:pPr>
      <w:r>
        <w:t>8.4 Confidentiality and protection</w:t>
      </w:r>
    </w:p>
    <w:p>
      <w:r>
        <w:t>Information relating to a POSH complaint, identities, proceedings, recommendations and action must be handled in accordance with statutory confidentiality requirements. Access must be strictly limited. Retaliation, intimidation or pressure on a complainant, respondent or witness is prohibited.</w:t>
      </w:r>
    </w:p>
    <w:p>
      <w:pPr>
        <w:pStyle w:val="Heading2"/>
      </w:pPr>
      <w:r>
        <w:t>8.5 Immediate risk</w:t>
      </w:r>
    </w:p>
    <w:p>
      <w:r>
        <w:t>If a complaint indicates immediate danger, threats or risk of harm, HR must arrange appropriate safety measures and contact competent authorities where required. A POSH complaint must be escalated to the designated IC/legal process rather than processed as an ordinary conduct case.</w:t>
      </w:r>
    </w:p>
    <w:p>
      <w:pPr>
        <w:pStyle w:val="Heading1"/>
      </w:pPr>
      <w:r>
        <w:t>9. Grievance Redressal and Employee Relations</w:t>
      </w:r>
    </w:p>
    <w:p>
      <w:pPr>
        <w:pStyle w:val="Heading2"/>
      </w:pPr>
      <w:r>
        <w:t>9.1 What may be raised</w:t>
      </w:r>
    </w:p>
    <w:p>
      <w:r>
        <w:t>Employees may raise concerns about pay, attendance, leave, working conditions, manager conduct, unfair treatment, workplace safety, retaliation, policy interpretation or other employment matters. Legally designated complaints, including POSH matters, must be routed to the required forum.</w:t>
      </w:r>
    </w:p>
    <w:p>
      <w:pPr>
        <w:pStyle w:val="Heading2"/>
      </w:pPr>
      <w:r>
        <w:t>9.2 Ways to raise a grievance</w:t>
      </w:r>
    </w:p>
    <w:p>
      <w:r>
        <w:t>A grievance may be raised with HR, the designated Employee Relations contact, the employee's manager (unless the manager is involved), or a formal grievance mechanism required by applicable law. Anonymous reports may be considered where enough information exists to assess the concern.</w:t>
      </w:r>
    </w:p>
    <w:p>
      <w:pPr>
        <w:pStyle w:val="Heading2"/>
      </w:pPr>
      <w:r>
        <w:t>9.3 Acknowledgement and triage</w:t>
      </w:r>
    </w:p>
    <w:p>
      <w:r>
        <w:t>As an internal service target, HR should acknowledge a routine grievance within two working days and complete initial triage within five working days. These are fictional internal targets, not statutory deadlines. Legal or statutory time limits always prevail.</w:t>
      </w:r>
    </w:p>
    <w:p>
      <w:pPr>
        <w:pStyle w:val="Heading2"/>
      </w:pPr>
      <w:r>
        <w:t>9.4 Case handling steps</w:t>
      </w:r>
    </w:p>
    <w:p>
      <w:pPr>
        <w:pStyle w:val="ListNumber"/>
        <w:spacing w:after="40"/>
      </w:pPr>
      <w:r>
        <w:t>Record the issue, date received, requested outcome and any immediate safety concern.</w:t>
      </w:r>
    </w:p>
    <w:p>
      <w:pPr>
        <w:pStyle w:val="ListNumber"/>
        <w:spacing w:after="40"/>
      </w:pPr>
      <w:r>
        <w:t>Check whether the matter must go to a statutory committee, external authority or specialised process.</w:t>
      </w:r>
    </w:p>
    <w:p>
      <w:pPr>
        <w:pStyle w:val="ListNumber"/>
        <w:spacing w:after="40"/>
      </w:pPr>
      <w:r>
        <w:t>Identify the applicable policy, employment terms and legal questions.</w:t>
      </w:r>
    </w:p>
    <w:p>
      <w:pPr>
        <w:pStyle w:val="ListNumber"/>
        <w:spacing w:after="40"/>
      </w:pPr>
      <w:r>
        <w:t>Gather relevant records and ask neutral follow-up questions.</w:t>
      </w:r>
    </w:p>
    <w:p>
      <w:pPr>
        <w:pStyle w:val="ListNumber"/>
        <w:spacing w:after="40"/>
      </w:pPr>
      <w:r>
        <w:t>Give affected people an appropriate opportunity to respond, consistent with confidentiality and the applicable process.</w:t>
      </w:r>
    </w:p>
    <w:p>
      <w:pPr>
        <w:pStyle w:val="ListNumber"/>
        <w:spacing w:after="40"/>
      </w:pPr>
      <w:r>
        <w:t>Document the findings, limits of available evidence and recommended action.</w:t>
      </w:r>
    </w:p>
    <w:p>
      <w:pPr>
        <w:pStyle w:val="ListNumber"/>
        <w:spacing w:after="40"/>
      </w:pPr>
      <w:r>
        <w:t>Obtain approval from the authorised HR/management role and communicate the outcome as appropriate.</w:t>
      </w:r>
    </w:p>
    <w:p>
      <w:pPr>
        <w:pStyle w:val="ListNumber"/>
        <w:spacing w:after="40"/>
      </w:pPr>
      <w:r>
        <w:t>Record any follow-up, appeal or review route available under policy or law.</w:t>
      </w:r>
    </w:p>
    <w:p>
      <w:pPr>
        <w:pStyle w:val="Heading2"/>
      </w:pPr>
      <w:r>
        <w:t>9.5 Grievance Redressal Committee</w:t>
      </w:r>
    </w:p>
    <w:p>
      <w:r>
        <w:t>Where a Grievance Redressal Committee or another formal mechanism is required by applicable law, the organisation must establish and operate it in accordance with current statutory conditions, including composition, representation, jurisdiction and timelines. The fictional service targets in this handbook do not replace statutory requirements.</w:t>
      </w:r>
    </w:p>
    <w:p>
      <w:pPr>
        <w:pStyle w:val="Heading2"/>
      </w:pPr>
      <w:r>
        <w:t>9.6 Impartiality and conflicts</w:t>
      </w:r>
    </w:p>
    <w:p>
      <w:r>
        <w:t>A person who is directly involved in a complaint or has a material conflict must not control the assessment. HR should assign an impartial reviewer or escalate to a more senior or independent function.</w:t>
      </w:r>
    </w:p>
    <w:p>
      <w:pPr>
        <w:pStyle w:val="Heading2"/>
      </w:pPr>
      <w:r>
        <w:t>9.7 Outcome communication</w:t>
      </w:r>
    </w:p>
    <w:p>
      <w:r>
        <w:t>The outcome should state what was reviewed, what could and could not be established, the action or next step, and any available review channel. It should not disclose another employee's confidential personal or disciplinary information unless lawful and necessary.</w:t>
      </w:r>
    </w:p>
    <w:p>
      <w:pPr>
        <w:pStyle w:val="Heading1"/>
      </w:pPr>
      <w:r>
        <w:t>10. Conduct, Fact-Finding and Disciplinary Process</w:t>
      </w:r>
    </w:p>
    <w:p>
      <w:pPr>
        <w:pStyle w:val="Heading2"/>
      </w:pPr>
      <w:r>
        <w:t>10.1 Examples of conduct concerns</w:t>
      </w:r>
    </w:p>
    <w:p>
      <w:r>
        <w:t>Potential concerns may include violence, threats, theft, fraud, serious safety breaches, harassment, retaliation, falsification of records, unauthorised disclosure of confidential information or repeated failure to follow reasonable lawful instructions. The examples are not automatic findings of misconduct.</w:t>
      </w:r>
    </w:p>
    <w:p>
      <w:pPr>
        <w:pStyle w:val="Heading2"/>
      </w:pPr>
      <w:r>
        <w:t>10.2 Fair fact-finding</w:t>
      </w:r>
    </w:p>
    <w:p>
      <w:pPr>
        <w:pStyle w:val="ListBullet"/>
        <w:spacing w:after="40"/>
      </w:pPr>
      <w:r>
        <w:t>Define the concern precisely and identify the policy provision potentially involved.</w:t>
      </w:r>
    </w:p>
    <w:p>
      <w:pPr>
        <w:pStyle w:val="ListBullet"/>
        <w:spacing w:after="40"/>
      </w:pPr>
      <w:r>
        <w:t>Preserve relevant records lawfully and avoid altering original evidence.</w:t>
      </w:r>
    </w:p>
    <w:p>
      <w:pPr>
        <w:pStyle w:val="ListBullet"/>
        <w:spacing w:after="40"/>
      </w:pPr>
      <w:r>
        <w:t>Separate direct observations, documents, witness accounts and assumptions.</w:t>
      </w:r>
    </w:p>
    <w:p>
      <w:pPr>
        <w:pStyle w:val="ListBullet"/>
        <w:spacing w:after="40"/>
      </w:pPr>
      <w:r>
        <w:t>Ask open, neutral questions and record responses accurately.</w:t>
      </w:r>
    </w:p>
    <w:p>
      <w:pPr>
        <w:pStyle w:val="ListBullet"/>
        <w:spacing w:after="40"/>
      </w:pPr>
      <w:r>
        <w:t>Consider information that supports and contradicts the allegation.</w:t>
      </w:r>
    </w:p>
    <w:p>
      <w:pPr>
        <w:pStyle w:val="ListBullet"/>
        <w:spacing w:after="40"/>
      </w:pPr>
      <w:r>
        <w:t>Protect confidentiality and avoid unnecessary circulation.</w:t>
      </w:r>
    </w:p>
    <w:p>
      <w:pPr>
        <w:pStyle w:val="Heading2"/>
      </w:pPr>
      <w:r>
        <w:t>10.3 Notice and response</w:t>
      </w:r>
    </w:p>
    <w:p>
      <w:r>
        <w:t>Before a material adverse decision, HR must verify the applicable law, employment terms, standing orders or other binding procedure. Where required, the employee must receive adequate particulars of the allegation and a meaningful opportunity to respond. Any formal inquiry must be conducted by an appropriately authorised and impartial person in accordance with applicable requirements.</w:t>
      </w:r>
    </w:p>
    <w:p>
      <w:pPr>
        <w:pStyle w:val="Heading2"/>
      </w:pPr>
      <w:r>
        <w:t>10.4 Interim measures</w:t>
      </w:r>
    </w:p>
    <w:p>
      <w:r>
        <w:t>Temporary measures may be considered only where justified by safety, evidence preservation or operational necessity, and must be proportionate, documented, non-punitive where appropriate and reviewed regularly. Paid or unpaid suspension, transfer or restriction must be checked against applicable law and employment terms before implementation.</w:t>
      </w:r>
    </w:p>
    <w:p>
      <w:pPr>
        <w:pStyle w:val="Heading2"/>
      </w:pPr>
      <w:r>
        <w:t>10.5 Outcomes</w:t>
      </w:r>
    </w:p>
    <w:p>
      <w:r>
        <w:t>Possible outcomes may include no further action, coaching, training, process correction, mediation where appropriate, a warning, or formal disciplinary action. The appropriate outcome depends on established facts, seriousness, consistency, mitigating factors and applicable law. The AI must not select or impose a penalty.</w:t>
      </w:r>
    </w:p>
    <w:p>
      <w:pPr>
        <w:pStyle w:val="Heading2"/>
      </w:pPr>
      <w:r>
        <w:t>10.6 Appeal or review</w:t>
      </w:r>
    </w:p>
    <w:p>
      <w:r>
        <w:t>Where policy, contract or law provides an appeal or review route, HR must explain how to use it and ensure that the reviewer is sufficiently independent of the original decision.</w:t>
      </w:r>
    </w:p>
    <w:p>
      <w:pPr>
        <w:pStyle w:val="Heading1"/>
      </w:pPr>
      <w:r>
        <w:t>11. Resignation, Separation and Final Settlement</w:t>
      </w:r>
    </w:p>
    <w:p>
      <w:pPr>
        <w:pStyle w:val="Heading2"/>
      </w:pPr>
      <w:r>
        <w:t>11.1 Resignation</w:t>
      </w:r>
    </w:p>
    <w:p>
      <w:r>
        <w:t>Resignations should be recorded in writing. HR must confirm notice requirements under the employment terms and applicable law, discuss handover and clarify the proposed last working day. Any waiver or adjustment of notice must be documented.</w:t>
      </w:r>
    </w:p>
    <w:p>
      <w:pPr>
        <w:pStyle w:val="Heading2"/>
      </w:pPr>
      <w:r>
        <w:t>11.2 Termination and retrenchment</w:t>
      </w:r>
    </w:p>
    <w:p>
      <w:r>
        <w:t>No termination, retrenchment, lay-off, closure or other separation action should be initiated solely on an AI recommendation. HR must determine the employee's legal category, applicable law, required notice, reasons, approvals, compensation, procedural protections and any government or other notifications before action.</w:t>
      </w:r>
    </w:p>
    <w:p>
      <w:pPr>
        <w:pStyle w:val="Heading2"/>
      </w:pPr>
      <w:r>
        <w:t>11.3 Final wages and dues</w:t>
      </w:r>
    </w:p>
    <w:p>
      <w:r>
        <w:t>Payroll must calculate and pay final wages and other dues within the applicable statutory timelines. HR should review leave encashment, approved expenses, incentives, statutory benefits, lawful deductions and any other amounts payable under law and employment terms.</w:t>
      </w:r>
    </w:p>
    <w:p>
      <w:pPr>
        <w:pStyle w:val="Heading2"/>
      </w:pPr>
      <w:r>
        <w:t>11.4 Service and employment records</w:t>
      </w:r>
    </w:p>
    <w:p>
      <w:r>
        <w:t>HR should issue required service or employment documents and preserve records for the legally required retention period. Access to separation records must be restricted to authorised personnel.</w:t>
      </w:r>
    </w:p>
    <w:p>
      <w:pPr>
        <w:pStyle w:val="Heading2"/>
      </w:pPr>
      <w:r>
        <w:t>11.5 Exit concerns</w:t>
      </w:r>
    </w:p>
    <w:p>
      <w:r>
        <w:t>Exit interview comments may be used to identify systemic workplace issues. They must not be treated as proven misconduct by another employee without a fair and separate process.</w:t>
      </w:r>
    </w:p>
    <w:p>
      <w:pPr>
        <w:pStyle w:val="Heading1"/>
      </w:pPr>
      <w:r>
        <w:t>12. Social Security and Benefits</w:t>
      </w:r>
    </w:p>
    <w:p>
      <w:pPr>
        <w:pStyle w:val="Heading2"/>
      </w:pPr>
      <w:r>
        <w:t>12.1 Applicable benefits</w:t>
      </w:r>
    </w:p>
    <w:p>
      <w:r>
        <w:t>HR/payroll will determine applicability of provident fund, employee state insurance, gratuity, maternity benefit, employee compensation, bonus and other statutory or company benefits using current law, notified thresholds, wage definitions, employee eligibility and establishment coverage.</w:t>
      </w:r>
    </w:p>
    <w:p>
      <w:pPr>
        <w:pStyle w:val="Heading2"/>
      </w:pPr>
      <w:r>
        <w:t>12.2 Enrolment and contributions</w:t>
      </w:r>
    </w:p>
    <w:p>
      <w:r>
        <w:t>Where coverage applies, the organisation will complete required registration, enrolment, contributions, declarations and records. Employees should provide accurate required information and may contact HR/payroll to correct errors.</w:t>
      </w:r>
    </w:p>
    <w:p>
      <w:pPr>
        <w:pStyle w:val="Heading2"/>
      </w:pPr>
      <w:r>
        <w:t>12.3 Benefits questions</w:t>
      </w:r>
    </w:p>
    <w:p>
      <w:r>
        <w:t>A benefits question should be logged with the relevant employee category, location, wage period or service dates. HR/payroll should verify current statutory rules and scheme requirements rather than rely on a generalised AI answer.</w:t>
      </w:r>
    </w:p>
    <w:p>
      <w:pPr>
        <w:pStyle w:val="Heading1"/>
      </w:pPr>
      <w:r>
        <w:t>13. Employee Data, Confidentiality and Records</w:t>
      </w:r>
    </w:p>
    <w:p>
      <w:pPr>
        <w:pStyle w:val="Heading2"/>
      </w:pPr>
      <w:r>
        <w:t>13.1 Data minimisation</w:t>
      </w:r>
    </w:p>
    <w:p>
      <w:r>
        <w:t>Only information reasonably necessary for a legitimate HR purpose should be collected. Sensitive personal information, medical details, complaint records and identity documents must be handled with additional care.</w:t>
      </w:r>
    </w:p>
    <w:p>
      <w:pPr>
        <w:pStyle w:val="Heading2"/>
      </w:pPr>
      <w:r>
        <w:t>13.2 Access control</w:t>
      </w:r>
    </w:p>
    <w:p>
      <w:r>
        <w:t>Access to employee-relations files must be role-based and limited to authorised people. Case documents should not be stored in open shared folders or sent to personal email accounts.</w:t>
      </w:r>
    </w:p>
    <w:p>
      <w:pPr>
        <w:pStyle w:val="Heading2"/>
      </w:pPr>
      <w:r>
        <w:t>13.3 Accuracy and correction</w:t>
      </w:r>
    </w:p>
    <w:p>
      <w:r>
        <w:t>Records should distinguish allegation, evidence, finding and decision. Employees may raise a correction request through HR, subject to applicable legal requirements and preservation of records needed for a lawful process.</w:t>
      </w:r>
    </w:p>
    <w:p>
      <w:pPr>
        <w:pStyle w:val="Heading2"/>
      </w:pPr>
      <w:r>
        <w:t>13.4 Retention and disposal</w:t>
      </w:r>
    </w:p>
    <w:p>
      <w:r>
        <w:t>HR must maintain a retention schedule reflecting applicable statutory retention periods, ongoing proceedings, legal holds and legitimate business needs. Records should be securely disposed of when retention is no longer required.</w:t>
      </w:r>
    </w:p>
    <w:p>
      <w:pPr>
        <w:pStyle w:val="Heading2"/>
      </w:pPr>
      <w:r>
        <w:t>13.5 AI tool restrictions</w:t>
      </w:r>
    </w:p>
    <w:p>
      <w:pPr>
        <w:pStyle w:val="ListBullet"/>
        <w:spacing w:after="40"/>
      </w:pPr>
      <w:r>
        <w:t>Use synthetic data for student demonstrations and testing.</w:t>
      </w:r>
    </w:p>
    <w:p>
      <w:pPr>
        <w:pStyle w:val="ListBullet"/>
        <w:spacing w:after="40"/>
      </w:pPr>
      <w:r>
        <w:t>Do not place real employee case files into a public AI service unless expressly authorised after a privacy/security review.</w:t>
      </w:r>
    </w:p>
    <w:p>
      <w:pPr>
        <w:pStyle w:val="ListBullet"/>
        <w:spacing w:after="40"/>
      </w:pPr>
      <w:r>
        <w:t>Do not use protected characteristics or sensitive personal details to score employee credibility or predict misconduct.</w:t>
      </w:r>
    </w:p>
    <w:p>
      <w:pPr>
        <w:pStyle w:val="ListBullet"/>
        <w:spacing w:after="40"/>
      </w:pPr>
      <w:r>
        <w:t>Keep a traceable record of policy sources and material AI-generated recommendations.</w:t>
      </w:r>
    </w:p>
    <w:p>
      <w:pPr>
        <w:pStyle w:val="ListBullet"/>
        <w:spacing w:after="40"/>
      </w:pPr>
      <w:r>
        <w:t>Require human review before an AI-generated draft is sent to an employee or used in a decision.</w:t>
      </w:r>
    </w:p>
    <w:p>
      <w:pPr>
        <w:pStyle w:val="Heading1"/>
      </w:pPr>
      <w:r>
        <w:t>14. Roles, Escalation and Recordkeeping</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B4C7E7"/>
          </w:tcPr>
          <w:p>
            <w:r/>
            <w:r>
              <w:rPr>
                <w:rFonts w:ascii="Aptos" w:hAnsi="Aptos"/>
                <w:b/>
                <w:sz w:val="17"/>
              </w:rPr>
              <w:t>Role</w:t>
            </w:r>
          </w:p>
        </w:tc>
        <w:tc>
          <w:tcPr>
            <w:tcW w:type="dxa" w:w="3312"/>
            <w:vAlign w:val="center"/>
            <w:shd w:fill="B4C7E7"/>
          </w:tcPr>
          <w:p>
            <w:r/>
            <w:r>
              <w:rPr>
                <w:rFonts w:ascii="Aptos" w:hAnsi="Aptos"/>
                <w:b/>
                <w:sz w:val="17"/>
              </w:rPr>
              <w:t>Primary responsibility</w:t>
            </w:r>
          </w:p>
        </w:tc>
        <w:tc>
          <w:tcPr>
            <w:tcW w:type="dxa" w:w="3312"/>
            <w:vAlign w:val="center"/>
            <w:shd w:fill="B4C7E7"/>
          </w:tcPr>
          <w:p>
            <w:r/>
            <w:r>
              <w:rPr>
                <w:rFonts w:ascii="Aptos" w:hAnsi="Aptos"/>
                <w:b/>
                <w:sz w:val="17"/>
              </w:rPr>
              <w:t>Must escalate when</w:t>
            </w:r>
          </w:p>
        </w:tc>
      </w:tr>
      <w:tr>
        <w:trPr>
          <w:cantSplit/>
        </w:trPr>
        <w:tc>
          <w:tcPr>
            <w:tcW w:type="dxa" w:w="3312"/>
            <w:vAlign w:val="center"/>
          </w:tcPr>
          <w:p>
            <w:r/>
            <w:r>
              <w:rPr>
                <w:rFonts w:ascii="Aptos" w:hAnsi="Aptos"/>
                <w:b w:val="0"/>
                <w:sz w:val="17"/>
              </w:rPr>
              <w:t>Employee</w:t>
            </w:r>
          </w:p>
        </w:tc>
        <w:tc>
          <w:tcPr>
            <w:tcW w:type="dxa" w:w="3312"/>
            <w:vAlign w:val="center"/>
          </w:tcPr>
          <w:p>
            <w:r/>
            <w:r>
              <w:rPr>
                <w:rFonts w:ascii="Aptos" w:hAnsi="Aptos"/>
                <w:b w:val="0"/>
                <w:sz w:val="17"/>
              </w:rPr>
              <w:t>Raise concerns accurately; provide available relevant information.</w:t>
            </w:r>
          </w:p>
        </w:tc>
        <w:tc>
          <w:tcPr>
            <w:tcW w:type="dxa" w:w="3312"/>
            <w:vAlign w:val="center"/>
          </w:tcPr>
          <w:p>
            <w:r/>
            <w:r>
              <w:rPr>
                <w:rFonts w:ascii="Aptos" w:hAnsi="Aptos"/>
                <w:b w:val="0"/>
                <w:sz w:val="17"/>
              </w:rPr>
              <w:t>Immediate safety risk or concern involving own manager.</w:t>
            </w:r>
          </w:p>
        </w:tc>
      </w:tr>
      <w:tr>
        <w:trPr>
          <w:cantSplit/>
        </w:trPr>
        <w:tc>
          <w:tcPr>
            <w:tcW w:type="dxa" w:w="3312"/>
            <w:vAlign w:val="center"/>
          </w:tcPr>
          <w:p>
            <w:r/>
            <w:r>
              <w:rPr>
                <w:rFonts w:ascii="Aptos" w:hAnsi="Aptos"/>
                <w:b w:val="0"/>
                <w:sz w:val="17"/>
              </w:rPr>
              <w:t>Line manager</w:t>
            </w:r>
          </w:p>
        </w:tc>
        <w:tc>
          <w:tcPr>
            <w:tcW w:type="dxa" w:w="3312"/>
            <w:vAlign w:val="center"/>
          </w:tcPr>
          <w:p>
            <w:r/>
            <w:r>
              <w:rPr>
                <w:rFonts w:ascii="Aptos" w:hAnsi="Aptos"/>
                <w:b w:val="0"/>
                <w:sz w:val="17"/>
              </w:rPr>
              <w:t>Listen, preserve records and refer matters appropriately.</w:t>
            </w:r>
          </w:p>
        </w:tc>
        <w:tc>
          <w:tcPr>
            <w:tcW w:type="dxa" w:w="3312"/>
            <w:vAlign w:val="center"/>
          </w:tcPr>
          <w:p>
            <w:r/>
            <w:r>
              <w:rPr>
                <w:rFonts w:ascii="Aptos" w:hAnsi="Aptos"/>
                <w:b w:val="0"/>
                <w:sz w:val="17"/>
              </w:rPr>
              <w:t>Complaint concerns the manager, possible illegality, harassment, retaliation or serious misconduct.</w:t>
            </w:r>
          </w:p>
        </w:tc>
      </w:tr>
      <w:tr>
        <w:trPr>
          <w:cantSplit/>
        </w:trPr>
        <w:tc>
          <w:tcPr>
            <w:tcW w:type="dxa" w:w="3312"/>
            <w:vAlign w:val="center"/>
          </w:tcPr>
          <w:p>
            <w:r/>
            <w:r>
              <w:rPr>
                <w:rFonts w:ascii="Aptos" w:hAnsi="Aptos"/>
                <w:b w:val="0"/>
                <w:sz w:val="17"/>
              </w:rPr>
              <w:t>HR / Employee Relations</w:t>
            </w:r>
          </w:p>
        </w:tc>
        <w:tc>
          <w:tcPr>
            <w:tcW w:type="dxa" w:w="3312"/>
            <w:vAlign w:val="center"/>
          </w:tcPr>
          <w:p>
            <w:r/>
            <w:r>
              <w:rPr>
                <w:rFonts w:ascii="Aptos" w:hAnsi="Aptos"/>
                <w:b w:val="0"/>
                <w:sz w:val="17"/>
              </w:rPr>
              <w:t>Triage, coordinate fair handling, document and communicate.</w:t>
            </w:r>
          </w:p>
        </w:tc>
        <w:tc>
          <w:tcPr>
            <w:tcW w:type="dxa" w:w="3312"/>
            <w:vAlign w:val="center"/>
          </w:tcPr>
          <w:p>
            <w:r/>
            <w:r>
              <w:rPr>
                <w:rFonts w:ascii="Aptos" w:hAnsi="Aptos"/>
                <w:b w:val="0"/>
                <w:sz w:val="17"/>
              </w:rPr>
              <w:t>Statutory process, conflict of interest, legal uncertainty or serious risk.</w:t>
            </w:r>
          </w:p>
        </w:tc>
      </w:tr>
      <w:tr>
        <w:trPr>
          <w:cantSplit/>
        </w:trPr>
        <w:tc>
          <w:tcPr>
            <w:tcW w:type="dxa" w:w="3312"/>
            <w:vAlign w:val="center"/>
          </w:tcPr>
          <w:p>
            <w:r/>
            <w:r>
              <w:rPr>
                <w:rFonts w:ascii="Aptos" w:hAnsi="Aptos"/>
                <w:b w:val="0"/>
                <w:sz w:val="17"/>
              </w:rPr>
              <w:t>Payroll / Benefits</w:t>
            </w:r>
          </w:p>
        </w:tc>
        <w:tc>
          <w:tcPr>
            <w:tcW w:type="dxa" w:w="3312"/>
            <w:vAlign w:val="center"/>
          </w:tcPr>
          <w:p>
            <w:r/>
            <w:r>
              <w:rPr>
                <w:rFonts w:ascii="Aptos" w:hAnsi="Aptos"/>
                <w:b w:val="0"/>
                <w:sz w:val="17"/>
              </w:rPr>
              <w:t>Verify attendance, wages, deductions and benefit records.</w:t>
            </w:r>
          </w:p>
        </w:tc>
        <w:tc>
          <w:tcPr>
            <w:tcW w:type="dxa" w:w="3312"/>
            <w:vAlign w:val="center"/>
          </w:tcPr>
          <w:p>
            <w:r/>
            <w:r>
              <w:rPr>
                <w:rFonts w:ascii="Aptos" w:hAnsi="Aptos"/>
                <w:b w:val="0"/>
                <w:sz w:val="17"/>
              </w:rPr>
              <w:t>Possible underpayment, unlawful deduction or disputed statutory entitlement.</w:t>
            </w:r>
          </w:p>
        </w:tc>
      </w:tr>
      <w:tr>
        <w:trPr>
          <w:cantSplit/>
        </w:trPr>
        <w:tc>
          <w:tcPr>
            <w:tcW w:type="dxa" w:w="3312"/>
            <w:vAlign w:val="center"/>
          </w:tcPr>
          <w:p>
            <w:r/>
            <w:r>
              <w:rPr>
                <w:rFonts w:ascii="Aptos" w:hAnsi="Aptos"/>
                <w:b w:val="0"/>
                <w:sz w:val="17"/>
              </w:rPr>
              <w:t>IC / designated statutory body</w:t>
            </w:r>
          </w:p>
        </w:tc>
        <w:tc>
          <w:tcPr>
            <w:tcW w:type="dxa" w:w="3312"/>
            <w:vAlign w:val="center"/>
          </w:tcPr>
          <w:p>
            <w:r/>
            <w:r>
              <w:rPr>
                <w:rFonts w:ascii="Aptos" w:hAnsi="Aptos"/>
                <w:b w:val="0"/>
                <w:sz w:val="17"/>
              </w:rPr>
              <w:t>Handle matters within its legal mandate.</w:t>
            </w:r>
          </w:p>
        </w:tc>
        <w:tc>
          <w:tcPr>
            <w:tcW w:type="dxa" w:w="3312"/>
            <w:vAlign w:val="center"/>
          </w:tcPr>
          <w:p>
            <w:r/>
            <w:r>
              <w:rPr>
                <w:rFonts w:ascii="Aptos" w:hAnsi="Aptos"/>
                <w:b w:val="0"/>
                <w:sz w:val="17"/>
              </w:rPr>
              <w:t>As required by the governing statute and process.</w:t>
            </w:r>
          </w:p>
        </w:tc>
      </w:tr>
      <w:tr>
        <w:trPr>
          <w:cantSplit/>
        </w:trPr>
        <w:tc>
          <w:tcPr>
            <w:tcW w:type="dxa" w:w="3312"/>
            <w:vAlign w:val="center"/>
          </w:tcPr>
          <w:p>
            <w:r/>
            <w:r>
              <w:rPr>
                <w:rFonts w:ascii="Aptos" w:hAnsi="Aptos"/>
                <w:b w:val="0"/>
                <w:sz w:val="17"/>
              </w:rPr>
              <w:t>Legal / Compliance</w:t>
            </w:r>
          </w:p>
        </w:tc>
        <w:tc>
          <w:tcPr>
            <w:tcW w:type="dxa" w:w="3312"/>
            <w:vAlign w:val="center"/>
          </w:tcPr>
          <w:p>
            <w:r/>
            <w:r>
              <w:rPr>
                <w:rFonts w:ascii="Aptos" w:hAnsi="Aptos"/>
                <w:b w:val="0"/>
                <w:sz w:val="17"/>
              </w:rPr>
              <w:t>Verify legal requirements and advise on high-risk matters.</w:t>
            </w:r>
          </w:p>
        </w:tc>
        <w:tc>
          <w:tcPr>
            <w:tcW w:type="dxa" w:w="3312"/>
            <w:vAlign w:val="center"/>
          </w:tcPr>
          <w:p>
            <w:r/>
            <w:r>
              <w:rPr>
                <w:rFonts w:ascii="Aptos" w:hAnsi="Aptos"/>
                <w:b w:val="0"/>
                <w:sz w:val="17"/>
              </w:rPr>
              <w:t>Unclear law, threatened litigation, regulatory report or material adverse action.</w:t>
            </w:r>
          </w:p>
        </w:tc>
      </w:tr>
      <w:tr>
        <w:trPr>
          <w:cantSplit/>
        </w:trPr>
        <w:tc>
          <w:tcPr>
            <w:tcW w:type="dxa" w:w="3312"/>
            <w:vAlign w:val="center"/>
          </w:tcPr>
          <w:p>
            <w:r/>
            <w:r>
              <w:rPr>
                <w:rFonts w:ascii="Aptos" w:hAnsi="Aptos"/>
                <w:b w:val="0"/>
                <w:sz w:val="17"/>
              </w:rPr>
              <w:t>PeopleGuard AI</w:t>
            </w:r>
          </w:p>
        </w:tc>
        <w:tc>
          <w:tcPr>
            <w:tcW w:type="dxa" w:w="3312"/>
            <w:vAlign w:val="center"/>
          </w:tcPr>
          <w:p>
            <w:r/>
            <w:r>
              <w:rPr>
                <w:rFonts w:ascii="Aptos" w:hAnsi="Aptos"/>
                <w:b w:val="0"/>
                <w:sz w:val="17"/>
              </w:rPr>
              <w:t>Retrieve, organise, draft and flag; support decision-makers.</w:t>
            </w:r>
          </w:p>
        </w:tc>
        <w:tc>
          <w:tcPr>
            <w:tcW w:type="dxa" w:w="3312"/>
            <w:vAlign w:val="center"/>
          </w:tcPr>
          <w:p>
            <w:r/>
            <w:r>
              <w:rPr>
                <w:rFonts w:ascii="Aptos" w:hAnsi="Aptos"/>
                <w:b w:val="0"/>
                <w:sz w:val="17"/>
              </w:rPr>
              <w:t>Always escalate high-risk, sensitive, uncertain or consequential decisions to humans.</w:t>
            </w:r>
          </w:p>
        </w:tc>
      </w:tr>
    </w:tbl>
    <w:p>
      <w:pPr>
        <w:pStyle w:val="Heading1"/>
      </w:pPr>
      <w:r>
        <w:t>Appendix A. PeopleGuard AI Case-Handling Rules</w:t>
      </w:r>
    </w:p>
    <w:p>
      <w:r>
        <w:t>These rules are intended to be incorporated into the system prompt and workflow logic for the academic prototype.</w:t>
      </w:r>
    </w:p>
    <w:p>
      <w:pPr>
        <w:pStyle w:val="ListNumber"/>
        <w:spacing w:after="40"/>
      </w:pPr>
      <w:r>
        <w:t>Do not invent policy clauses, legal citations, deadlines, wage rates or statutory entitlements.</w:t>
      </w:r>
    </w:p>
    <w:p>
      <w:pPr>
        <w:pStyle w:val="ListNumber"/>
        <w:spacing w:after="40"/>
      </w:pPr>
      <w:r>
        <w:t>Quote or cite the source document name and relevant heading/section for every material policy conclusion.</w:t>
      </w:r>
    </w:p>
    <w:p>
      <w:pPr>
        <w:pStyle w:val="ListNumber"/>
        <w:spacing w:after="40"/>
      </w:pPr>
      <w:r>
        <w:t>Clearly label statements as employee allegation, corroborated fact, unresolved question, policy provision, legal issue for verification, or HR recommendation.</w:t>
      </w:r>
    </w:p>
    <w:p>
      <w:pPr>
        <w:pStyle w:val="ListNumber"/>
        <w:spacing w:after="40"/>
      </w:pPr>
      <w:r>
        <w:t>If no policy source is found, state that no supporting passage was retrieved and request human review.</w:t>
      </w:r>
    </w:p>
    <w:p>
      <w:pPr>
        <w:pStyle w:val="ListNumber"/>
        <w:spacing w:after="40"/>
      </w:pPr>
      <w:r>
        <w:t>Do not infer guilt, dishonesty, credibility, intent or appropriate punishment from a complaint alone.</w:t>
      </w:r>
    </w:p>
    <w:p>
      <w:pPr>
        <w:pStyle w:val="ListNumber"/>
        <w:spacing w:after="40"/>
      </w:pPr>
      <w:r>
        <w:t>Route POSH matters to the legally designated process; do not conduct or decide a statutory POSH inquiry.</w:t>
      </w:r>
    </w:p>
    <w:p>
      <w:pPr>
        <w:pStyle w:val="ListNumber"/>
        <w:spacing w:after="40"/>
      </w:pPr>
      <w:r>
        <w:t>Flag immediate threats or serious safety risks for urgent human intervention; do not delay emergency action.</w:t>
      </w:r>
    </w:p>
    <w:p>
      <w:pPr>
        <w:pStyle w:val="ListNumber"/>
        <w:spacing w:after="40"/>
      </w:pPr>
      <w:r>
        <w:t>For wage, overtime, leave, maternity, social security or separation questions, request location, employee category and relevant dates where these affect the legal answer.</w:t>
      </w:r>
    </w:p>
    <w:p>
      <w:pPr>
        <w:pStyle w:val="ListNumber"/>
        <w:spacing w:after="40"/>
      </w:pPr>
      <w:r>
        <w:t>Treat company policy as subordinate to applicable law and binding legal requirements.</w:t>
      </w:r>
    </w:p>
    <w:p>
      <w:pPr>
        <w:pStyle w:val="ListNumber"/>
        <w:spacing w:after="40"/>
      </w:pPr>
      <w:r>
        <w:t>Generate drafts only. Require an authorised human to approve decisions and employee-facing communications.</w:t>
      </w:r>
    </w:p>
    <w:p>
      <w:pPr>
        <w:pStyle w:val="ListNumber"/>
        <w:spacing w:after="40"/>
      </w:pPr>
      <w:r>
        <w:t>Minimise personal data and do not expose case details to unrelated users.</w:t>
      </w:r>
    </w:p>
    <w:p>
      <w:pPr>
        <w:pStyle w:val="ListNumber"/>
        <w:spacing w:after="40"/>
      </w:pPr>
      <w:r>
        <w:t>Record agent outputs, retrieved sources, warnings and human approval status for auditability.</w:t>
      </w:r>
    </w:p>
    <w:p>
      <w:pPr>
        <w:pStyle w:val="Heading1"/>
      </w:pPr>
      <w:r>
        <w:t>Appendix B. Synthetic Example Cases</w:t>
      </w:r>
    </w:p>
    <w:p>
      <w:pPr>
        <w:pStyle w:val="Heading2"/>
      </w:pPr>
      <w:r>
        <w:t>Case B1 — Alleged unpaid overtime</w:t>
      </w:r>
    </w:p>
    <w:p>
      <w:r>
        <w:t>Input: An employee says they worked beyond scheduled hours on several dates and the payslip does not reflect overtime.</w:t>
      </w:r>
    </w:p>
    <w:p>
      <w:r>
        <w:t>Expected AI behaviour: Ask for work location, employment category, dates, roster, attendance and payslip; retrieve the relevant policy; flag current legal rate/eligibility verification; produce a payroll review checklist; do not conclude that an underpayment occurred until records are checked.</w:t>
      </w:r>
    </w:p>
    <w:p>
      <w:pPr>
        <w:pStyle w:val="Heading2"/>
      </w:pPr>
      <w:r>
        <w:t>Case B2 — Leave balance dispute</w:t>
      </w:r>
    </w:p>
    <w:p>
      <w:r>
        <w:t>Input: An employee says earned leave was reduced after a manager rejected a request.</w:t>
      </w:r>
    </w:p>
    <w:p>
      <w:r>
        <w:t>Expected AI behaviour: Retrieve the leave policy; request the leave ledger and relevant dates; distinguish a policy dispute from a possible statutory entitlement; flag state/establishment-specific rules; suggest correction or review if records show an error.</w:t>
      </w:r>
    </w:p>
    <w:p>
      <w:pPr>
        <w:pStyle w:val="Heading2"/>
      </w:pPr>
      <w:r>
        <w:t>Case B3 — Complaint about manager behaviour</w:t>
      </w:r>
    </w:p>
    <w:p>
      <w:r>
        <w:t>Input: An employee reports repeated public humiliation by a manager.</w:t>
      </w:r>
    </w:p>
    <w:p>
      <w:r>
        <w:t>Expected AI behaviour: Identify the allegation neutrally; ask for dates, examples and witnesses where appropriate; check respectful-workplace and grievance policies; flag retaliation/conflict-of-interest risk; recommend an impartial HR reviewer; do not label the manager guilty.</w:t>
      </w:r>
    </w:p>
    <w:p>
      <w:pPr>
        <w:pStyle w:val="Heading2"/>
      </w:pPr>
      <w:r>
        <w:t>Case B4 — Sexual harassment concern</w:t>
      </w:r>
    </w:p>
    <w:p>
      <w:r>
        <w:t>Input: An employee reports unwanted sexual conduct at work.</w:t>
      </w:r>
    </w:p>
    <w:p>
      <w:r>
        <w:t>Expected AI behaviour: Flag the matter as sensitive; restrict access; direct it to the Internal Committee/designated statutory route where applicable; explain that ordinary ER workflow must not replace statutory procedure; avoid asking intrusive questions beyond what is necessary for safe routing.</w:t>
      </w:r>
    </w:p>
    <w:p>
      <w:pPr>
        <w:pStyle w:val="Heading2"/>
      </w:pPr>
      <w:r>
        <w:t>Case B5 — Unexplained absence</w:t>
      </w:r>
    </w:p>
    <w:p>
      <w:r>
        <w:t>Input: An employee has missed several shifts and has not replied to the first message.</w:t>
      </w:r>
    </w:p>
    <w:p>
      <w:r>
        <w:t>Expected AI behaviour: Recommend a welfare check and documented contact attempts; check leave and attendance records; allow a reasonable opportunity for explanation; do not automatically classify the employee as having abandoned employment.</w:t>
      </w:r>
    </w:p>
    <w:p>
      <w:pPr>
        <w:pStyle w:val="Heading1"/>
      </w:pPr>
      <w:r>
        <w:t>Appendix C. Legal Reference Map and Verification Checklist</w:t>
      </w:r>
    </w:p>
    <w:p>
      <w:r>
        <w:t>This map is an orientation aid, not an exhaustive legal opinion. The applicable law depends on facts, coverage, commencement provisions, current rules and state/UT requirements.</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vAlign w:val="center"/>
            <w:shd w:fill="B4C7E7"/>
          </w:tcPr>
          <w:p>
            <w:r/>
            <w:r>
              <w:rPr>
                <w:rFonts w:ascii="Aptos" w:hAnsi="Aptos"/>
                <w:b/>
                <w:sz w:val="17"/>
              </w:rPr>
              <w:t>Topic</w:t>
            </w:r>
          </w:p>
        </w:tc>
        <w:tc>
          <w:tcPr>
            <w:tcW w:type="dxa" w:w="3312"/>
            <w:vAlign w:val="center"/>
            <w:shd w:fill="B4C7E7"/>
          </w:tcPr>
          <w:p>
            <w:r/>
            <w:r>
              <w:rPr>
                <w:rFonts w:ascii="Aptos" w:hAnsi="Aptos"/>
                <w:b/>
                <w:sz w:val="17"/>
              </w:rPr>
              <w:t>Primary legal framework to verify</w:t>
            </w:r>
          </w:p>
        </w:tc>
        <w:tc>
          <w:tcPr>
            <w:tcW w:type="dxa" w:w="3312"/>
            <w:vAlign w:val="center"/>
            <w:shd w:fill="B4C7E7"/>
          </w:tcPr>
          <w:p>
            <w:r/>
            <w:r>
              <w:rPr>
                <w:rFonts w:ascii="Aptos" w:hAnsi="Aptos"/>
                <w:b/>
                <w:sz w:val="17"/>
              </w:rPr>
              <w:t>What HR must confirm</w:t>
            </w:r>
          </w:p>
        </w:tc>
      </w:tr>
      <w:tr>
        <w:trPr>
          <w:cantSplit/>
        </w:trPr>
        <w:tc>
          <w:tcPr>
            <w:tcW w:type="dxa" w:w="3312"/>
            <w:vAlign w:val="center"/>
          </w:tcPr>
          <w:p>
            <w:r/>
            <w:r>
              <w:rPr>
                <w:rFonts w:ascii="Aptos" w:hAnsi="Aptos"/>
                <w:b w:val="0"/>
                <w:sz w:val="17"/>
              </w:rPr>
              <w:t>Wages, minimum wages, deductions, overtime</w:t>
            </w:r>
          </w:p>
        </w:tc>
        <w:tc>
          <w:tcPr>
            <w:tcW w:type="dxa" w:w="3312"/>
            <w:vAlign w:val="center"/>
          </w:tcPr>
          <w:p>
            <w:r/>
            <w:r>
              <w:rPr>
                <w:rFonts w:ascii="Aptos" w:hAnsi="Aptos"/>
                <w:b w:val="0"/>
                <w:sz w:val="17"/>
              </w:rPr>
              <w:t>Code on Wages, 2019 and applicable rules/notifications</w:t>
            </w:r>
          </w:p>
        </w:tc>
        <w:tc>
          <w:tcPr>
            <w:tcW w:type="dxa" w:w="3312"/>
            <w:vAlign w:val="center"/>
          </w:tcPr>
          <w:p>
            <w:r/>
            <w:r>
              <w:rPr>
                <w:rFonts w:ascii="Aptos" w:hAnsi="Aptos"/>
                <w:b w:val="0"/>
                <w:sz w:val="17"/>
              </w:rPr>
              <w:t>Coverage, wage definition, notified rate, payment deadlines, lawful deductions and overtime treatment.</w:t>
            </w:r>
          </w:p>
        </w:tc>
      </w:tr>
      <w:tr>
        <w:trPr>
          <w:cantSplit/>
        </w:trPr>
        <w:tc>
          <w:tcPr>
            <w:tcW w:type="dxa" w:w="3312"/>
            <w:vAlign w:val="center"/>
          </w:tcPr>
          <w:p>
            <w:r/>
            <w:r>
              <w:rPr>
                <w:rFonts w:ascii="Aptos" w:hAnsi="Aptos"/>
                <w:b w:val="0"/>
                <w:sz w:val="17"/>
              </w:rPr>
              <w:t>Industrial relations, grievance mechanisms, standing orders, separation</w:t>
            </w:r>
          </w:p>
        </w:tc>
        <w:tc>
          <w:tcPr>
            <w:tcW w:type="dxa" w:w="3312"/>
            <w:vAlign w:val="center"/>
          </w:tcPr>
          <w:p>
            <w:r/>
            <w:r>
              <w:rPr>
                <w:rFonts w:ascii="Aptos" w:hAnsi="Aptos"/>
                <w:b w:val="0"/>
                <w:sz w:val="17"/>
              </w:rPr>
              <w:t>Industrial Relations Code, 2020 and applicable rules/standing orders</w:t>
            </w:r>
          </w:p>
        </w:tc>
        <w:tc>
          <w:tcPr>
            <w:tcW w:type="dxa" w:w="3312"/>
            <w:vAlign w:val="center"/>
          </w:tcPr>
          <w:p>
            <w:r/>
            <w:r>
              <w:rPr>
                <w:rFonts w:ascii="Aptos" w:hAnsi="Aptos"/>
                <w:b w:val="0"/>
                <w:sz w:val="17"/>
              </w:rPr>
              <w:t>Employee category, establishment coverage, committee requirements, procedure, notice, compensation and timelines.</w:t>
            </w:r>
          </w:p>
        </w:tc>
      </w:tr>
      <w:tr>
        <w:trPr>
          <w:cantSplit/>
        </w:trPr>
        <w:tc>
          <w:tcPr>
            <w:tcW w:type="dxa" w:w="3312"/>
            <w:vAlign w:val="center"/>
          </w:tcPr>
          <w:p>
            <w:r/>
            <w:r>
              <w:rPr>
                <w:rFonts w:ascii="Aptos" w:hAnsi="Aptos"/>
                <w:b w:val="0"/>
                <w:sz w:val="17"/>
              </w:rPr>
              <w:t>Social security, maternity and related benefits</w:t>
            </w:r>
          </w:p>
        </w:tc>
        <w:tc>
          <w:tcPr>
            <w:tcW w:type="dxa" w:w="3312"/>
            <w:vAlign w:val="center"/>
          </w:tcPr>
          <w:p>
            <w:r/>
            <w:r>
              <w:rPr>
                <w:rFonts w:ascii="Aptos" w:hAnsi="Aptos"/>
                <w:b w:val="0"/>
                <w:sz w:val="17"/>
              </w:rPr>
              <w:t>Code on Social Security, 2020, applicable schemes/rules and notifications</w:t>
            </w:r>
          </w:p>
        </w:tc>
        <w:tc>
          <w:tcPr>
            <w:tcW w:type="dxa" w:w="3312"/>
            <w:vAlign w:val="center"/>
          </w:tcPr>
          <w:p>
            <w:r/>
            <w:r>
              <w:rPr>
                <w:rFonts w:ascii="Aptos" w:hAnsi="Aptos"/>
                <w:b w:val="0"/>
                <w:sz w:val="17"/>
              </w:rPr>
              <w:t>Coverage, eligibility, contribution, wage/service definitions, benefit period and records.</w:t>
            </w:r>
          </w:p>
        </w:tc>
      </w:tr>
      <w:tr>
        <w:trPr>
          <w:cantSplit/>
        </w:trPr>
        <w:tc>
          <w:tcPr>
            <w:tcW w:type="dxa" w:w="3312"/>
            <w:vAlign w:val="center"/>
          </w:tcPr>
          <w:p>
            <w:r/>
            <w:r>
              <w:rPr>
                <w:rFonts w:ascii="Aptos" w:hAnsi="Aptos"/>
                <w:b w:val="0"/>
                <w:sz w:val="17"/>
              </w:rPr>
              <w:t>Working conditions, safety, hours and leave-related establishment rules</w:t>
            </w:r>
          </w:p>
        </w:tc>
        <w:tc>
          <w:tcPr>
            <w:tcW w:type="dxa" w:w="3312"/>
            <w:vAlign w:val="center"/>
          </w:tcPr>
          <w:p>
            <w:r/>
            <w:r>
              <w:rPr>
                <w:rFonts w:ascii="Aptos" w:hAnsi="Aptos"/>
                <w:b w:val="0"/>
                <w:sz w:val="17"/>
              </w:rPr>
              <w:t>Occupational Safety, Health and Working Conditions Code, 2020 and applicable rules; other applicable state/UT provisions</w:t>
            </w:r>
          </w:p>
        </w:tc>
        <w:tc>
          <w:tcPr>
            <w:tcW w:type="dxa" w:w="3312"/>
            <w:vAlign w:val="center"/>
          </w:tcPr>
          <w:p>
            <w:r/>
            <w:r>
              <w:rPr>
                <w:rFonts w:ascii="Aptos" w:hAnsi="Aptos"/>
                <w:b w:val="0"/>
                <w:sz w:val="17"/>
              </w:rPr>
              <w:t>Establishment type, registration, working-hour limits, rest, safety duties and state-specific requirements.</w:t>
            </w:r>
          </w:p>
        </w:tc>
      </w:tr>
      <w:tr>
        <w:trPr>
          <w:cantSplit/>
        </w:trPr>
        <w:tc>
          <w:tcPr>
            <w:tcW w:type="dxa" w:w="3312"/>
            <w:vAlign w:val="center"/>
          </w:tcPr>
          <w:p>
            <w:r/>
            <w:r>
              <w:rPr>
                <w:rFonts w:ascii="Aptos" w:hAnsi="Aptos"/>
                <w:b w:val="0"/>
                <w:sz w:val="17"/>
              </w:rPr>
              <w:t>Sexual harassment at workplace</w:t>
            </w:r>
          </w:p>
        </w:tc>
        <w:tc>
          <w:tcPr>
            <w:tcW w:type="dxa" w:w="3312"/>
            <w:vAlign w:val="center"/>
          </w:tcPr>
          <w:p>
            <w:r/>
            <w:r>
              <w:rPr>
                <w:rFonts w:ascii="Aptos" w:hAnsi="Aptos"/>
                <w:b w:val="0"/>
                <w:sz w:val="17"/>
              </w:rPr>
              <w:t>Sexual Harassment of Women at Workplace (Prevention, Prohibition and Redressal) Act, 2013 and applicable rules</w:t>
            </w:r>
          </w:p>
        </w:tc>
        <w:tc>
          <w:tcPr>
            <w:tcW w:type="dxa" w:w="3312"/>
            <w:vAlign w:val="center"/>
          </w:tcPr>
          <w:p>
            <w:r/>
            <w:r>
              <w:rPr>
                <w:rFonts w:ascii="Aptos" w:hAnsi="Aptos"/>
                <w:b w:val="0"/>
                <w:sz w:val="17"/>
              </w:rPr>
              <w:t>IC constitution/composition, reporting route, confidentiality, time limits, interim relief and inquiry procedure.</w:t>
            </w:r>
          </w:p>
        </w:tc>
      </w:tr>
      <w:tr>
        <w:trPr>
          <w:cantSplit/>
        </w:trPr>
        <w:tc>
          <w:tcPr>
            <w:tcW w:type="dxa" w:w="3312"/>
            <w:vAlign w:val="center"/>
          </w:tcPr>
          <w:p>
            <w:r/>
            <w:r>
              <w:rPr>
                <w:rFonts w:ascii="Aptos" w:hAnsi="Aptos"/>
                <w:b w:val="0"/>
                <w:sz w:val="17"/>
              </w:rPr>
              <w:t>Privacy and employee records</w:t>
            </w:r>
          </w:p>
        </w:tc>
        <w:tc>
          <w:tcPr>
            <w:tcW w:type="dxa" w:w="3312"/>
            <w:vAlign w:val="center"/>
          </w:tcPr>
          <w:p>
            <w:r/>
            <w:r>
              <w:rPr>
                <w:rFonts w:ascii="Aptos" w:hAnsi="Aptos"/>
                <w:b w:val="0"/>
                <w:sz w:val="17"/>
              </w:rPr>
              <w:t>Applicable data-protection, information-technology and employment-record requirements</w:t>
            </w:r>
          </w:p>
        </w:tc>
        <w:tc>
          <w:tcPr>
            <w:tcW w:type="dxa" w:w="3312"/>
            <w:vAlign w:val="center"/>
          </w:tcPr>
          <w:p>
            <w:r/>
            <w:r>
              <w:rPr>
                <w:rFonts w:ascii="Aptos" w:hAnsi="Aptos"/>
                <w:b w:val="0"/>
                <w:sz w:val="17"/>
              </w:rPr>
              <w:t>Lawful purpose, notice/consent where required, access, security, retention, disclosure and data-subject rights.</w:t>
            </w:r>
          </w:p>
        </w:tc>
      </w:tr>
    </w:tbl>
    <w:p>
      <w:pPr>
        <w:pStyle w:val="Heading2"/>
      </w:pPr>
      <w:r>
        <w:t>Pre-deployment legal verification checklist</w:t>
      </w:r>
    </w:p>
    <w:p>
      <w:pPr>
        <w:pStyle w:val="ListBullet"/>
        <w:spacing w:after="40"/>
      </w:pPr>
      <w:r>
        <w:t>Confirm the current commencement status, rules and notifications for each relevant Labour Code and the applicable state/UT rules.</w:t>
      </w:r>
    </w:p>
    <w:p>
      <w:pPr>
        <w:pStyle w:val="ListBullet"/>
        <w:spacing w:after="40"/>
      </w:pPr>
      <w:r>
        <w:t>Confirm whether the employer is an establishment covered by the relevant provision and identify the appropriate government where relevant.</w:t>
      </w:r>
    </w:p>
    <w:p>
      <w:pPr>
        <w:pStyle w:val="ListBullet"/>
        <w:spacing w:after="40"/>
      </w:pPr>
      <w:r>
        <w:t>Check the employee's category, location, wage structure, service length and employment terms.</w:t>
      </w:r>
    </w:p>
    <w:p>
      <w:pPr>
        <w:pStyle w:val="ListBullet"/>
        <w:spacing w:after="40"/>
      </w:pPr>
      <w:r>
        <w:t>Check current state/UT minimum wage notifications, working-hour rules, holidays, leave and establishment-specific requirements.</w:t>
      </w:r>
    </w:p>
    <w:p>
      <w:pPr>
        <w:pStyle w:val="ListBullet"/>
        <w:spacing w:after="40"/>
      </w:pPr>
      <w:r>
        <w:t>Confirm statutory committee requirements, including grievance redressal mechanisms and POSH Internal Committee obligations.</w:t>
      </w:r>
    </w:p>
    <w:p>
      <w:pPr>
        <w:pStyle w:val="ListBullet"/>
        <w:spacing w:after="40"/>
      </w:pPr>
      <w:r>
        <w:t>Verify statutory deadlines and record-retention requirements from authoritative current sources.</w:t>
      </w:r>
    </w:p>
    <w:p>
      <w:pPr>
        <w:pStyle w:val="ListBullet"/>
        <w:spacing w:after="40"/>
      </w:pPr>
      <w:r>
        <w:t>Have an Indian employment-law professional review the final version before any real-world use.</w:t>
      </w:r>
    </w:p>
    <w:p>
      <w:pPr>
        <w:pStyle w:val="Heading1"/>
      </w:pPr>
      <w:r>
        <w:t>Official and Government Reference Sources</w:t>
      </w:r>
    </w:p>
    <w:p>
      <w:r>
        <w:t>The following sources were consulted as orientation for the central legal framework and government implementation information. Always open the latest legislation, rules and notifications before relying on a specific entitlement or deadline.</w:t>
      </w:r>
    </w:p>
    <w:p>
      <w:pPr>
        <w:pStyle w:val="ListBullet"/>
      </w:pPr>
      <w:r>
        <w:t>Ministry of Labour &amp; Employment — Acts and Rules: https://www.apps.labour.gov.in/cgit/acts-rules</w:t>
      </w:r>
    </w:p>
    <w:p>
      <w:pPr>
        <w:pStyle w:val="ListBullet"/>
      </w:pPr>
      <w:r>
        <w:t>Ministry of Labour &amp; Employment — Acts-wise resources: https://labour.gov.in/acts-wise</w:t>
      </w:r>
    </w:p>
    <w:p>
      <w:pPr>
        <w:pStyle w:val="ListBullet"/>
      </w:pPr>
      <w:r>
        <w:t>Press Information Bureau — Government announcement on implementation of the four Labour Codes, 21 November 2025: https://labour.gov.in/sites/default/files/pib2192463.pdf</w:t>
      </w:r>
    </w:p>
    <w:p>
      <w:pPr>
        <w:pStyle w:val="ListBullet"/>
      </w:pPr>
      <w:r>
        <w:t>Press Information Bureau — Labour Code implementation and draft Central Rules update, 7 January 2026: https://www.pib.gov.in/PressReleasePage.aspx?PRID=2212132&amp;lang=1&amp;reg=3</w:t>
      </w:r>
    </w:p>
    <w:p>
      <w:pPr>
        <w:pStyle w:val="ListBullet"/>
      </w:pPr>
      <w:r>
        <w:t>Ministry of Labour &amp; Employment / SAMADHAN — employment-related claims and grievance portal: https://samadhan.labour.gov.in/</w:t>
      </w:r>
    </w:p>
    <w:p>
      <w:pPr>
        <w:pStyle w:val="Heading1"/>
      </w:pPr>
      <w:r>
        <w:t>Version History</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vAlign w:val="center"/>
            <w:shd w:fill="B4C7E7"/>
          </w:tcPr>
          <w:p>
            <w:r/>
            <w:r>
              <w:rPr>
                <w:rFonts w:ascii="Aptos" w:hAnsi="Aptos"/>
                <w:b/>
                <w:sz w:val="17"/>
              </w:rPr>
              <w:t>Version</w:t>
            </w:r>
          </w:p>
        </w:tc>
        <w:tc>
          <w:tcPr>
            <w:tcW w:type="dxa" w:w="3312"/>
            <w:vAlign w:val="center"/>
            <w:shd w:fill="B4C7E7"/>
          </w:tcPr>
          <w:p>
            <w:r/>
            <w:r>
              <w:rPr>
                <w:rFonts w:ascii="Aptos" w:hAnsi="Aptos"/>
                <w:b/>
                <w:sz w:val="17"/>
              </w:rPr>
              <w:t>Date</w:t>
            </w:r>
          </w:p>
        </w:tc>
        <w:tc>
          <w:tcPr>
            <w:tcW w:type="dxa" w:w="3312"/>
            <w:vAlign w:val="center"/>
            <w:shd w:fill="B4C7E7"/>
          </w:tcPr>
          <w:p>
            <w:r/>
            <w:r>
              <w:rPr>
                <w:rFonts w:ascii="Aptos" w:hAnsi="Aptos"/>
                <w:b/>
                <w:sz w:val="17"/>
              </w:rPr>
              <w:t>Change</w:t>
            </w:r>
          </w:p>
        </w:tc>
      </w:tr>
      <w:tr>
        <w:trPr>
          <w:cantSplit/>
        </w:trPr>
        <w:tc>
          <w:tcPr>
            <w:tcW w:type="dxa" w:w="3312"/>
            <w:vAlign w:val="center"/>
          </w:tcPr>
          <w:p>
            <w:r/>
            <w:r>
              <w:rPr>
                <w:rFonts w:ascii="Aptos" w:hAnsi="Aptos"/>
                <w:b w:val="0"/>
                <w:sz w:val="17"/>
              </w:rPr>
              <w:t>1.0</w:t>
            </w:r>
          </w:p>
        </w:tc>
        <w:tc>
          <w:tcPr>
            <w:tcW w:type="dxa" w:w="3312"/>
            <w:vAlign w:val="center"/>
          </w:tcPr>
          <w:p>
            <w:r/>
            <w:r>
              <w:rPr>
                <w:rFonts w:ascii="Aptos" w:hAnsi="Aptos"/>
                <w:b w:val="0"/>
                <w:sz w:val="17"/>
              </w:rPr>
              <w:t>October 2026</w:t>
            </w:r>
          </w:p>
        </w:tc>
        <w:tc>
          <w:tcPr>
            <w:tcW w:type="dxa" w:w="3312"/>
            <w:vAlign w:val="center"/>
          </w:tcPr>
          <w:p>
            <w:r/>
            <w:r>
              <w:rPr>
                <w:rFonts w:ascii="Aptos" w:hAnsi="Aptos"/>
                <w:b w:val="0"/>
                <w:sz w:val="17"/>
              </w:rPr>
              <w:t>Initial fictional handbook for PeopleGuard AI academic prototype.</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Fictional academic prototype • India • Version 1.0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NORTHSTAR RETAIL SERVICES PVT. LTD.  |  FICTIONAL HR POLICY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