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0E" w:rsidRDefault="00255EFF" w:rsidP="00547889">
      <w:pPr>
        <w:rPr>
          <w:b/>
          <w:sz w:val="32"/>
          <w:szCs w:val="32"/>
        </w:rPr>
      </w:pPr>
      <w:r w:rsidRPr="00255EFF">
        <w:rPr>
          <w:b/>
          <w:sz w:val="32"/>
          <w:szCs w:val="32"/>
        </w:rPr>
        <w:t>Kickstarter Campaign Conclusions</w:t>
      </w:r>
    </w:p>
    <w:p w:rsidR="00166501" w:rsidRDefault="00C30BC0" w:rsidP="00547889">
      <w:r>
        <w:rPr>
          <w:b/>
          <w:sz w:val="32"/>
          <w:szCs w:val="32"/>
        </w:rPr>
        <w:tab/>
      </w:r>
      <w:r>
        <w:t xml:space="preserve">The purpose of having a Kickstarter campaign is to raise funds for a cause. Compiling the data from previous campaigns allows us to understand which campaigns have the highest probability of success going forward. </w:t>
      </w:r>
    </w:p>
    <w:p w:rsidR="00C30BC0" w:rsidRDefault="00C30BC0" w:rsidP="00547889">
      <w:r>
        <w:t>Based on the information drawn from our line graph below</w:t>
      </w:r>
      <w:r w:rsidR="00166501">
        <w:t>, we can see that the success rate for campaigns was highest during the first seven months of the year and peaking during the second quarter</w:t>
      </w:r>
      <w:r>
        <w:t>.</w:t>
      </w:r>
      <w:r w:rsidR="00166501">
        <w:t xml:space="preserve"> Overall, our success rate </w:t>
      </w:r>
      <w:r w:rsidR="006E2CBC">
        <w:t>declines as the year goes on. Our rate of failure is also lowest during the first two quarters of the year.</w:t>
      </w:r>
    </w:p>
    <w:p w:rsidR="00C30BC0" w:rsidRPr="00C30BC0" w:rsidRDefault="00C30BC0" w:rsidP="00547889">
      <w:r>
        <w:rPr>
          <w:noProof/>
        </w:rPr>
        <w:drawing>
          <wp:inline distT="0" distB="0" distL="0" distR="0" wp14:anchorId="2974E583" wp14:editId="74A3984F">
            <wp:extent cx="5943600" cy="358838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66501" w:rsidRDefault="00166501" w:rsidP="00547889">
      <w:pPr>
        <w:rPr>
          <w:b/>
          <w:sz w:val="32"/>
          <w:szCs w:val="32"/>
        </w:rPr>
      </w:pPr>
    </w:p>
    <w:p w:rsidR="00B939CE" w:rsidRDefault="006E2CBC" w:rsidP="00547889">
      <w:r>
        <w:t xml:space="preserve">In conclusion, the data </w:t>
      </w:r>
      <w:r w:rsidR="00B939CE">
        <w:t xml:space="preserve">provides sufficient evidence to say that in order to be successful, the campaign should… 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 xml:space="preserve">Start at the beginning of the year during spring and preferably in May. 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>Theatrical plays are an outlier and should be avoided.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 xml:space="preserve">We would have the highest probability of success if the </w:t>
      </w:r>
      <w:proofErr w:type="spellStart"/>
      <w:r>
        <w:t>kickstarter</w:t>
      </w:r>
      <w:proofErr w:type="spellEnd"/>
      <w:r>
        <w:t xml:space="preserve"> campaign revolved around music. The musical campaign with the best chance of success is rock music.</w:t>
      </w:r>
    </w:p>
    <w:p w:rsidR="006E2CBC" w:rsidRPr="006E2CBC" w:rsidRDefault="006E2CBC" w:rsidP="00547889"/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547889" w:rsidRDefault="00547889" w:rsidP="00547889">
      <w:pPr>
        <w:rPr>
          <w:b/>
          <w:sz w:val="32"/>
          <w:szCs w:val="32"/>
        </w:rPr>
      </w:pPr>
      <w:r w:rsidRPr="00547889">
        <w:rPr>
          <w:b/>
          <w:sz w:val="32"/>
          <w:szCs w:val="32"/>
        </w:rPr>
        <w:t>Dataset Limitations</w:t>
      </w:r>
    </w:p>
    <w:p w:rsidR="007B1259" w:rsidRDefault="00547889" w:rsidP="0011042E">
      <w:pPr>
        <w:pStyle w:val="ListParagraph"/>
        <w:ind w:left="0" w:firstLine="720"/>
      </w:pPr>
      <w:r>
        <w:t>The dataset should be filtered by genre to give a better repre</w:t>
      </w:r>
      <w:r w:rsidR="007B1259">
        <w:t xml:space="preserve">sentation of the </w:t>
      </w:r>
      <w:r w:rsidR="0011042E">
        <w:t>information</w:t>
      </w:r>
      <w:r w:rsidR="007B1259">
        <w:t xml:space="preserve">. The scope of data is </w:t>
      </w:r>
      <w:r w:rsidR="00B939CE">
        <w:t xml:space="preserve">also </w:t>
      </w:r>
      <w:r w:rsidR="007B1259">
        <w:t xml:space="preserve">too wide. </w:t>
      </w:r>
      <w:r w:rsidR="00B939CE">
        <w:t xml:space="preserve"> In the following chart, we can see that the data poin</w:t>
      </w:r>
      <w:r w:rsidR="0011042E">
        <w:t>ts to theater as having the highest number of</w:t>
      </w:r>
      <w:r w:rsidR="00B939CE">
        <w:t xml:space="preserve"> </w:t>
      </w:r>
      <w:proofErr w:type="spellStart"/>
      <w:r w:rsidR="0011042E">
        <w:t>kickstarter</w:t>
      </w:r>
      <w:proofErr w:type="spellEnd"/>
      <w:r w:rsidR="00B939CE">
        <w:t xml:space="preserve"> campaign</w:t>
      </w:r>
      <w:r w:rsidR="0011042E">
        <w:t>s</w:t>
      </w:r>
      <w:r w:rsidR="00B939CE">
        <w:t xml:space="preserve"> by a large margin. </w:t>
      </w:r>
      <w:r w:rsidR="006E2CBC">
        <w:rPr>
          <w:noProof/>
        </w:rPr>
        <w:drawing>
          <wp:inline distT="0" distB="0" distL="0" distR="0" wp14:anchorId="07C784ED" wp14:editId="55184D11">
            <wp:extent cx="5943600" cy="324231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39CE" w:rsidRDefault="00B939CE" w:rsidP="007B1259">
      <w:r>
        <w:t xml:space="preserve">This would indicate that </w:t>
      </w:r>
      <w:r w:rsidR="0011042E">
        <w:t>theater is an outlier</w:t>
      </w:r>
      <w:r>
        <w:t xml:space="preserve">. To more accurately </w:t>
      </w:r>
      <w:r w:rsidR="0011042E">
        <w:t>portray</w:t>
      </w:r>
      <w:r>
        <w:t xml:space="preserve"> the data, we should narrow our </w:t>
      </w:r>
      <w:r w:rsidR="0011042E">
        <w:t xml:space="preserve">focus to a specific category of data based on the </w:t>
      </w:r>
      <w:proofErr w:type="spellStart"/>
      <w:r w:rsidR="0011042E">
        <w:t>kickstarter</w:t>
      </w:r>
      <w:proofErr w:type="spellEnd"/>
      <w:r w:rsidR="0011042E">
        <w:t xml:space="preserve"> category (e.g. music, theater, food etc</w:t>
      </w:r>
      <w:r w:rsidR="00816BD4">
        <w:t>.</w:t>
      </w:r>
      <w:r w:rsidR="0011042E">
        <w:t>) or sub-category (e.g. rock music, jazz, classical etc</w:t>
      </w:r>
      <w:r w:rsidR="00816BD4">
        <w:t>.</w:t>
      </w:r>
      <w:r w:rsidR="0011042E">
        <w:t xml:space="preserve">). </w:t>
      </w:r>
    </w:p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>
      <w:r>
        <w:lastRenderedPageBreak/>
        <w:t>Sub-categories detailed in the graph below.</w:t>
      </w:r>
      <w:bookmarkStart w:id="0" w:name="_GoBack"/>
      <w:bookmarkEnd w:id="0"/>
    </w:p>
    <w:p w:rsidR="0011042E" w:rsidRDefault="0011042E" w:rsidP="007B125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7EA977E" wp14:editId="1EAE08AB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2E" w:rsidRDefault="0011042E" w:rsidP="007B1259">
      <w:pPr>
        <w:rPr>
          <w:b/>
          <w:sz w:val="32"/>
          <w:szCs w:val="32"/>
        </w:rPr>
      </w:pPr>
      <w:r>
        <w:t xml:space="preserve">In the sub-category chart you will see that theater only has one prevailing sub-category; plays. Whereas </w:t>
      </w:r>
      <w:r w:rsidR="00816BD4">
        <w:t>all other c</w:t>
      </w:r>
      <w:r>
        <w:t xml:space="preserve">ategories </w:t>
      </w:r>
      <w:r w:rsidR="00816BD4">
        <w:t>have more comparable data</w:t>
      </w:r>
      <w:r>
        <w:t xml:space="preserve">. </w:t>
      </w:r>
    </w:p>
    <w:p w:rsidR="0011042E" w:rsidRDefault="0011042E" w:rsidP="007B1259">
      <w:pPr>
        <w:rPr>
          <w:b/>
          <w:sz w:val="32"/>
          <w:szCs w:val="32"/>
        </w:rPr>
      </w:pPr>
    </w:p>
    <w:p w:rsidR="00547889" w:rsidRDefault="007B1259" w:rsidP="007B1259">
      <w:pPr>
        <w:rPr>
          <w:b/>
          <w:sz w:val="32"/>
          <w:szCs w:val="32"/>
        </w:rPr>
      </w:pPr>
      <w:r w:rsidRPr="007B1259">
        <w:rPr>
          <w:b/>
          <w:sz w:val="32"/>
          <w:szCs w:val="32"/>
        </w:rPr>
        <w:t xml:space="preserve">Possible Tables and Graphs </w:t>
      </w:r>
    </w:p>
    <w:p w:rsidR="00816BD4" w:rsidRDefault="00816BD4" w:rsidP="00816BD4">
      <w:r>
        <w:t>The tables below demonstrate how narrowing the data can give a more accurate portrayal of the information given.</w:t>
      </w:r>
    </w:p>
    <w:p w:rsidR="00816BD4" w:rsidRDefault="00816BD4" w:rsidP="00816BD4">
      <w:r>
        <w:rPr>
          <w:noProof/>
        </w:rPr>
        <w:drawing>
          <wp:inline distT="0" distB="0" distL="0" distR="0" wp14:anchorId="745FE807" wp14:editId="1E553846">
            <wp:extent cx="2759554" cy="1632494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063" cy="16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5CA647" wp14:editId="6B63CB41">
            <wp:extent cx="2791097" cy="16546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168" cy="16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D4" w:rsidRDefault="00816BD4" w:rsidP="00816BD4">
      <w:r>
        <w:t xml:space="preserve">After </w:t>
      </w:r>
      <w:r>
        <w:t xml:space="preserve">On the left graph, we </w:t>
      </w:r>
      <w:r>
        <w:t>eliminat</w:t>
      </w:r>
      <w:r>
        <w:t>ed</w:t>
      </w:r>
      <w:r>
        <w:t xml:space="preserve"> all other categories, leaving only theater, we can see that </w:t>
      </w:r>
      <w:r>
        <w:t xml:space="preserve">the sub-category, </w:t>
      </w:r>
      <w:r>
        <w:t>plays should be broken down further or eliminated from the data all together. The music chart on the other hand offers a m</w:t>
      </w:r>
      <w:r>
        <w:t>ore varied dataset and more useable</w:t>
      </w:r>
      <w:r>
        <w:t xml:space="preserve"> information.</w:t>
      </w:r>
      <w:r>
        <w:t xml:space="preserve"> </w:t>
      </w:r>
    </w:p>
    <w:p w:rsidR="00816BD4" w:rsidRDefault="00816BD4" w:rsidP="00816BD4"/>
    <w:sectPr w:rsidR="0081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67BE"/>
    <w:multiLevelType w:val="hybridMultilevel"/>
    <w:tmpl w:val="54E0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551B"/>
    <w:multiLevelType w:val="hybridMultilevel"/>
    <w:tmpl w:val="843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52CF"/>
    <w:multiLevelType w:val="hybridMultilevel"/>
    <w:tmpl w:val="0F90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FF"/>
    <w:rsid w:val="0011042E"/>
    <w:rsid w:val="001446BB"/>
    <w:rsid w:val="00166501"/>
    <w:rsid w:val="00255EFF"/>
    <w:rsid w:val="002E430E"/>
    <w:rsid w:val="00547889"/>
    <w:rsid w:val="006012DF"/>
    <w:rsid w:val="006E2CBC"/>
    <w:rsid w:val="006F0542"/>
    <w:rsid w:val="007B1259"/>
    <w:rsid w:val="00816BD4"/>
    <w:rsid w:val="00AB146E"/>
    <w:rsid w:val="00B01BA7"/>
    <w:rsid w:val="00B939CE"/>
    <w:rsid w:val="00C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5A36F-0AF0-4A05-BB84-D5D964CF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Mona\Desktop\SMU_Homework\SMU%20Assignments\Unit_01_Excel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Mona\Desktop\SMU_Homework\SMU%20Assignments\Unit_01_Excel\H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[HW1.xlsx]LineChart!PivotTable13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Status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LineChart!$B$4:$B$5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LineChart!$C$4:$C$5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LineChart!$D$4:$D$5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103464"/>
        <c:axId val="467105424"/>
      </c:lineChart>
      <c:catAx>
        <c:axId val="467103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05424"/>
        <c:crosses val="autoZero"/>
        <c:auto val="1"/>
        <c:lblAlgn val="ctr"/>
        <c:lblOffset val="100"/>
        <c:noMultiLvlLbl val="0"/>
      </c:catAx>
      <c:valAx>
        <c:axId val="46710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0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[HW1.xlsx]StackedColumn1!PivotTable5</c:name>
    <c:fmtId val="-1"/>
  </c:pivotSource>
  <c:chart>
    <c:autoTitleDeleted val="0"/>
    <c:pivotFmts>
      <c:pivotFmt>
        <c:idx val="0"/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StackedColumn1!$B$3:$B$4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StackedColumn1!$B$5:$B$14</c:f>
              <c:numCache>
                <c:formatCode>General</c:formatCode>
                <c:ptCount val="9"/>
                <c:pt idx="0">
                  <c:v>301</c:v>
                </c:pt>
                <c:pt idx="1">
                  <c:v>38</c:v>
                </c:pt>
                <c:pt idx="2">
                  <c:v>82</c:v>
                </c:pt>
                <c:pt idx="4">
                  <c:v>532</c:v>
                </c:pt>
                <c:pt idx="5">
                  <c:v>103</c:v>
                </c:pt>
                <c:pt idx="6">
                  <c:v>82</c:v>
                </c:pt>
                <c:pt idx="7">
                  <c:v>210</c:v>
                </c:pt>
                <c:pt idx="8">
                  <c:v>837</c:v>
                </c:pt>
              </c:numCache>
            </c:numRef>
          </c:val>
        </c:ser>
        <c:ser>
          <c:idx val="1"/>
          <c:order val="1"/>
          <c:tx>
            <c:strRef>
              <c:f>StackedColumn1!$C$3:$C$4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StackedColumn1!$C$5:$C$14</c:f>
              <c:numCache>
                <c:formatCode>General</c:formatCode>
                <c:ptCount val="9"/>
                <c:pt idx="0">
                  <c:v>180</c:v>
                </c:pt>
                <c:pt idx="1">
                  <c:v>136</c:v>
                </c:pt>
                <c:pt idx="2">
                  <c:v>138</c:v>
                </c:pt>
                <c:pt idx="3">
                  <c:v>1</c:v>
                </c:pt>
                <c:pt idx="4">
                  <c:v>126</c:v>
                </c:pt>
                <c:pt idx="5">
                  <c:v>115</c:v>
                </c:pt>
                <c:pt idx="6">
                  <c:v>126</c:v>
                </c:pt>
                <c:pt idx="7">
                  <c:v>214</c:v>
                </c:pt>
                <c:pt idx="8">
                  <c:v>494</c:v>
                </c:pt>
              </c:numCache>
            </c:numRef>
          </c:val>
        </c:ser>
        <c:ser>
          <c:idx val="2"/>
          <c:order val="2"/>
          <c:tx>
            <c:strRef>
              <c:f>StackedColumn1!$D$3:$D$4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23</c:v>
                </c:pt>
                <c:pt idx="4">
                  <c:v>21</c:v>
                </c:pt>
                <c:pt idx="5">
                  <c:v>2</c:v>
                </c:pt>
                <c:pt idx="6">
                  <c:v>29</c:v>
                </c:pt>
                <c:pt idx="7">
                  <c:v>176</c:v>
                </c:pt>
                <c:pt idx="8">
                  <c:v>38</c:v>
                </c:pt>
              </c:numCache>
            </c:numRef>
          </c:val>
        </c:ser>
        <c:ser>
          <c:idx val="3"/>
          <c:order val="3"/>
          <c:tx>
            <c:strRef>
              <c:f>StackedColumn1!$E$3:$E$4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StackedColumn1!$E$5:$E$14</c:f>
              <c:numCache>
                <c:formatCode>General</c:formatCode>
                <c:ptCount val="9"/>
                <c:pt idx="1">
                  <c:v>6</c:v>
                </c:pt>
                <c:pt idx="4">
                  <c:v>21</c:v>
                </c:pt>
                <c:pt idx="8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7099544"/>
        <c:axId val="467100720"/>
      </c:barChart>
      <c:catAx>
        <c:axId val="46709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00720"/>
        <c:crosses val="autoZero"/>
        <c:auto val="1"/>
        <c:lblAlgn val="ctr"/>
        <c:lblOffset val="100"/>
        <c:noMultiLvlLbl val="0"/>
      </c:catAx>
      <c:valAx>
        <c:axId val="46710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09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2020-03-21T02:22:00Z</dcterms:created>
  <dcterms:modified xsi:type="dcterms:W3CDTF">2020-03-25T03:48:00Z</dcterms:modified>
</cp:coreProperties>
</file>