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F8" w:rsidRDefault="00E67DF8" w:rsidP="00E67DF8">
      <w:pPr>
        <w:pStyle w:val="Title"/>
        <w:jc w:val="center"/>
      </w:pPr>
      <w:r>
        <w:t>RabbitMQ Service Model</w:t>
      </w:r>
    </w:p>
    <w:p w:rsidR="00E67DF8" w:rsidRDefault="00E67DF8">
      <w:pPr>
        <w:pStyle w:val="TOCHeading"/>
      </w:pPr>
      <w:r>
        <w:t>Table of Contents</w:t>
      </w:r>
    </w:p>
    <w:p w:rsidR="00B5239D" w:rsidRDefault="00B26B3A">
      <w:pPr>
        <w:pStyle w:val="TOC1"/>
        <w:tabs>
          <w:tab w:val="right" w:leader="dot" w:pos="9016"/>
        </w:tabs>
        <w:rPr>
          <w:rFonts w:eastAsiaTheme="minorEastAsia"/>
          <w:noProof/>
          <w:lang w:eastAsia="en-GB"/>
        </w:rPr>
      </w:pPr>
      <w:r>
        <w:fldChar w:fldCharType="begin"/>
      </w:r>
      <w:r w:rsidR="00E67DF8">
        <w:instrText xml:space="preserve"> TOC \o "1-3" \h \z \u </w:instrText>
      </w:r>
      <w:r>
        <w:fldChar w:fldCharType="separate"/>
      </w:r>
      <w:hyperlink w:anchor="_Toc182825587" w:history="1">
        <w:r w:rsidR="00B5239D" w:rsidRPr="00144B91">
          <w:rPr>
            <w:rStyle w:val="Hyperlink"/>
            <w:noProof/>
          </w:rPr>
          <w:t>An AMQP Binding for WCF</w:t>
        </w:r>
        <w:r w:rsidR="00B5239D">
          <w:rPr>
            <w:noProof/>
            <w:webHidden/>
          </w:rPr>
          <w:tab/>
        </w:r>
        <w:r>
          <w:rPr>
            <w:noProof/>
            <w:webHidden/>
          </w:rPr>
          <w:fldChar w:fldCharType="begin"/>
        </w:r>
        <w:r w:rsidR="00B5239D">
          <w:rPr>
            <w:noProof/>
            <w:webHidden/>
          </w:rPr>
          <w:instrText xml:space="preserve"> PAGEREF _Toc182825587 \h </w:instrText>
        </w:r>
        <w:r>
          <w:rPr>
            <w:noProof/>
            <w:webHidden/>
          </w:rPr>
        </w:r>
        <w:r>
          <w:rPr>
            <w:noProof/>
            <w:webHidden/>
          </w:rPr>
          <w:fldChar w:fldCharType="separate"/>
        </w:r>
        <w:r w:rsidR="00936655">
          <w:rPr>
            <w:noProof/>
            <w:webHidden/>
          </w:rPr>
          <w:t>1</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588" w:history="1">
        <w:r w:rsidR="00B5239D" w:rsidRPr="00144B91">
          <w:rPr>
            <w:rStyle w:val="Hyperlink"/>
            <w:noProof/>
          </w:rPr>
          <w:t>Service Addressing</w:t>
        </w:r>
        <w:r w:rsidR="00B5239D">
          <w:rPr>
            <w:noProof/>
            <w:webHidden/>
          </w:rPr>
          <w:tab/>
        </w:r>
        <w:r>
          <w:rPr>
            <w:noProof/>
            <w:webHidden/>
          </w:rPr>
          <w:fldChar w:fldCharType="begin"/>
        </w:r>
        <w:r w:rsidR="00B5239D">
          <w:rPr>
            <w:noProof/>
            <w:webHidden/>
          </w:rPr>
          <w:instrText xml:space="preserve"> PAGEREF _Toc182825588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B26B3A">
      <w:pPr>
        <w:pStyle w:val="TOC1"/>
        <w:tabs>
          <w:tab w:val="right" w:leader="dot" w:pos="9016"/>
        </w:tabs>
        <w:rPr>
          <w:rFonts w:eastAsiaTheme="minorEastAsia"/>
          <w:noProof/>
          <w:lang w:eastAsia="en-GB"/>
        </w:rPr>
      </w:pPr>
      <w:hyperlink w:anchor="_Toc182825589" w:history="1">
        <w:r w:rsidR="00B5239D" w:rsidRPr="00144B91">
          <w:rPr>
            <w:rStyle w:val="Hyperlink"/>
            <w:noProof/>
          </w:rPr>
          <w:t>Building the Binding and Samples</w:t>
        </w:r>
        <w:r w:rsidR="00B5239D">
          <w:rPr>
            <w:noProof/>
            <w:webHidden/>
          </w:rPr>
          <w:tab/>
        </w:r>
        <w:r>
          <w:rPr>
            <w:noProof/>
            <w:webHidden/>
          </w:rPr>
          <w:fldChar w:fldCharType="begin"/>
        </w:r>
        <w:r w:rsidR="00B5239D">
          <w:rPr>
            <w:noProof/>
            <w:webHidden/>
          </w:rPr>
          <w:instrText xml:space="preserve"> PAGEREF _Toc182825589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B26B3A">
      <w:pPr>
        <w:pStyle w:val="TOC1"/>
        <w:tabs>
          <w:tab w:val="right" w:leader="dot" w:pos="9016"/>
        </w:tabs>
        <w:rPr>
          <w:rFonts w:eastAsiaTheme="minorEastAsia"/>
          <w:noProof/>
          <w:lang w:eastAsia="en-GB"/>
        </w:rPr>
      </w:pPr>
      <w:hyperlink w:anchor="_Toc182825590" w:history="1">
        <w:r w:rsidR="00B5239D" w:rsidRPr="00144B91">
          <w:rPr>
            <w:rStyle w:val="Hyperlink"/>
            <w:noProof/>
          </w:rPr>
          <w:t>The ABCs of WCF</w:t>
        </w:r>
        <w:r w:rsidR="00B5239D">
          <w:rPr>
            <w:noProof/>
            <w:webHidden/>
          </w:rPr>
          <w:tab/>
        </w:r>
        <w:r>
          <w:rPr>
            <w:noProof/>
            <w:webHidden/>
          </w:rPr>
          <w:fldChar w:fldCharType="begin"/>
        </w:r>
        <w:r w:rsidR="00B5239D">
          <w:rPr>
            <w:noProof/>
            <w:webHidden/>
          </w:rPr>
          <w:instrText xml:space="preserve"> PAGEREF _Toc182825590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591" w:history="1">
        <w:r w:rsidR="00B5239D" w:rsidRPr="00144B91">
          <w:rPr>
            <w:rStyle w:val="Hyperlink"/>
            <w:noProof/>
          </w:rPr>
          <w:t>Contract</w:t>
        </w:r>
        <w:r w:rsidR="00B5239D">
          <w:rPr>
            <w:noProof/>
            <w:webHidden/>
          </w:rPr>
          <w:tab/>
        </w:r>
        <w:r>
          <w:rPr>
            <w:noProof/>
            <w:webHidden/>
          </w:rPr>
          <w:fldChar w:fldCharType="begin"/>
        </w:r>
        <w:r w:rsidR="00B5239D">
          <w:rPr>
            <w:noProof/>
            <w:webHidden/>
          </w:rPr>
          <w:instrText xml:space="preserve"> PAGEREF _Toc182825591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592" w:history="1">
        <w:r w:rsidR="00B5239D" w:rsidRPr="00144B91">
          <w:rPr>
            <w:rStyle w:val="Hyperlink"/>
            <w:noProof/>
          </w:rPr>
          <w:t>Behaviour</w:t>
        </w:r>
        <w:r w:rsidR="00B5239D">
          <w:rPr>
            <w:noProof/>
            <w:webHidden/>
          </w:rPr>
          <w:tab/>
        </w:r>
        <w:r>
          <w:rPr>
            <w:noProof/>
            <w:webHidden/>
          </w:rPr>
          <w:fldChar w:fldCharType="begin"/>
        </w:r>
        <w:r w:rsidR="00B5239D">
          <w:rPr>
            <w:noProof/>
            <w:webHidden/>
          </w:rPr>
          <w:instrText xml:space="preserve"> PAGEREF _Toc182825592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593" w:history="1">
        <w:r w:rsidR="00B5239D" w:rsidRPr="00144B91">
          <w:rPr>
            <w:rStyle w:val="Hyperlink"/>
            <w:noProof/>
          </w:rPr>
          <w:t>Address</w:t>
        </w:r>
        <w:r w:rsidR="00B5239D">
          <w:rPr>
            <w:noProof/>
            <w:webHidden/>
          </w:rPr>
          <w:tab/>
        </w:r>
        <w:r>
          <w:rPr>
            <w:noProof/>
            <w:webHidden/>
          </w:rPr>
          <w:fldChar w:fldCharType="begin"/>
        </w:r>
        <w:r w:rsidR="00B5239D">
          <w:rPr>
            <w:noProof/>
            <w:webHidden/>
          </w:rPr>
          <w:instrText xml:space="preserve"> PAGEREF _Toc182825593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B26B3A">
      <w:pPr>
        <w:pStyle w:val="TOC1"/>
        <w:tabs>
          <w:tab w:val="right" w:leader="dot" w:pos="9016"/>
        </w:tabs>
        <w:rPr>
          <w:rFonts w:eastAsiaTheme="minorEastAsia"/>
          <w:noProof/>
          <w:lang w:eastAsia="en-GB"/>
        </w:rPr>
      </w:pPr>
      <w:hyperlink w:anchor="_Toc182825594" w:history="1">
        <w:r w:rsidR="00B5239D" w:rsidRPr="00144B91">
          <w:rPr>
            <w:rStyle w:val="Hyperlink"/>
            <w:noProof/>
          </w:rPr>
          <w:t>Sample Services</w:t>
        </w:r>
        <w:r w:rsidR="00B5239D">
          <w:rPr>
            <w:noProof/>
            <w:webHidden/>
          </w:rPr>
          <w:tab/>
        </w:r>
        <w:r>
          <w:rPr>
            <w:noProof/>
            <w:webHidden/>
          </w:rPr>
          <w:fldChar w:fldCharType="begin"/>
        </w:r>
        <w:r w:rsidR="00B5239D">
          <w:rPr>
            <w:noProof/>
            <w:webHidden/>
          </w:rPr>
          <w:instrText xml:space="preserve"> PAGEREF _Toc182825594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595" w:history="1">
        <w:r w:rsidR="00B5239D" w:rsidRPr="00144B91">
          <w:rPr>
            <w:rStyle w:val="Hyperlink"/>
            <w:noProof/>
          </w:rPr>
          <w:t>One Way Services</w:t>
        </w:r>
        <w:r w:rsidR="00B5239D">
          <w:rPr>
            <w:noProof/>
            <w:webHidden/>
          </w:rPr>
          <w:tab/>
        </w:r>
        <w:r>
          <w:rPr>
            <w:noProof/>
            <w:webHidden/>
          </w:rPr>
          <w:fldChar w:fldCharType="begin"/>
        </w:r>
        <w:r w:rsidR="00B5239D">
          <w:rPr>
            <w:noProof/>
            <w:webHidden/>
          </w:rPr>
          <w:instrText xml:space="preserve"> PAGEREF _Toc182825595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596" w:history="1">
        <w:r w:rsidR="00B5239D" w:rsidRPr="00144B91">
          <w:rPr>
            <w:rStyle w:val="Hyperlink"/>
            <w:noProof/>
          </w:rPr>
          <w:t>Two Way Services</w:t>
        </w:r>
        <w:r w:rsidR="00B5239D">
          <w:rPr>
            <w:noProof/>
            <w:webHidden/>
          </w:rPr>
          <w:tab/>
        </w:r>
        <w:r>
          <w:rPr>
            <w:noProof/>
            <w:webHidden/>
          </w:rPr>
          <w:fldChar w:fldCharType="begin"/>
        </w:r>
        <w:r w:rsidR="00B5239D">
          <w:rPr>
            <w:noProof/>
            <w:webHidden/>
          </w:rPr>
          <w:instrText xml:space="preserve"> PAGEREF _Toc182825596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597" w:history="1">
        <w:r w:rsidR="00B5239D" w:rsidRPr="00144B91">
          <w:rPr>
            <w:rStyle w:val="Hyperlink"/>
            <w:noProof/>
          </w:rPr>
          <w:t>Sessionful Services</w:t>
        </w:r>
        <w:r w:rsidR="00B5239D">
          <w:rPr>
            <w:noProof/>
            <w:webHidden/>
          </w:rPr>
          <w:tab/>
        </w:r>
        <w:r>
          <w:rPr>
            <w:noProof/>
            <w:webHidden/>
          </w:rPr>
          <w:fldChar w:fldCharType="begin"/>
        </w:r>
        <w:r w:rsidR="00B5239D">
          <w:rPr>
            <w:noProof/>
            <w:webHidden/>
          </w:rPr>
          <w:instrText xml:space="preserve"> PAGEREF _Toc182825597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598" w:history="1">
        <w:r w:rsidR="00B5239D" w:rsidRPr="00144B91">
          <w:rPr>
            <w:rStyle w:val="Hyperlink"/>
            <w:noProof/>
          </w:rPr>
          <w:t>Duplex Services</w:t>
        </w:r>
        <w:r w:rsidR="00B5239D">
          <w:rPr>
            <w:noProof/>
            <w:webHidden/>
          </w:rPr>
          <w:tab/>
        </w:r>
        <w:r>
          <w:rPr>
            <w:noProof/>
            <w:webHidden/>
          </w:rPr>
          <w:fldChar w:fldCharType="begin"/>
        </w:r>
        <w:r w:rsidR="00B5239D">
          <w:rPr>
            <w:noProof/>
            <w:webHidden/>
          </w:rPr>
          <w:instrText xml:space="preserve"> PAGEREF _Toc182825598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26B3A">
      <w:pPr>
        <w:pStyle w:val="TOC1"/>
        <w:tabs>
          <w:tab w:val="right" w:leader="dot" w:pos="9016"/>
        </w:tabs>
        <w:rPr>
          <w:rFonts w:eastAsiaTheme="minorEastAsia"/>
          <w:noProof/>
          <w:lang w:eastAsia="en-GB"/>
        </w:rPr>
      </w:pPr>
      <w:hyperlink w:anchor="_Toc182825599" w:history="1">
        <w:r w:rsidR="00B5239D" w:rsidRPr="00144B91">
          <w:rPr>
            <w:rStyle w:val="Hyperlink"/>
            <w:noProof/>
          </w:rPr>
          <w:t>Using the RabbitMQ Binding</w:t>
        </w:r>
        <w:r w:rsidR="00B5239D">
          <w:rPr>
            <w:noProof/>
            <w:webHidden/>
          </w:rPr>
          <w:tab/>
        </w:r>
        <w:r>
          <w:rPr>
            <w:noProof/>
            <w:webHidden/>
          </w:rPr>
          <w:fldChar w:fldCharType="begin"/>
        </w:r>
        <w:r w:rsidR="00B5239D">
          <w:rPr>
            <w:noProof/>
            <w:webHidden/>
          </w:rPr>
          <w:instrText xml:space="preserve"> PAGEREF _Toc182825599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600" w:history="1">
        <w:r w:rsidR="00B5239D" w:rsidRPr="00144B91">
          <w:rPr>
            <w:rStyle w:val="Hyperlink"/>
            <w:noProof/>
          </w:rPr>
          <w:t>Services</w:t>
        </w:r>
        <w:r w:rsidR="00B5239D">
          <w:rPr>
            <w:noProof/>
            <w:webHidden/>
          </w:rPr>
          <w:tab/>
        </w:r>
        <w:r>
          <w:rPr>
            <w:noProof/>
            <w:webHidden/>
          </w:rPr>
          <w:fldChar w:fldCharType="begin"/>
        </w:r>
        <w:r w:rsidR="00B5239D">
          <w:rPr>
            <w:noProof/>
            <w:webHidden/>
          </w:rPr>
          <w:instrText xml:space="preserve"> PAGEREF _Toc182825600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601" w:history="1">
        <w:r w:rsidR="00B5239D" w:rsidRPr="00144B91">
          <w:rPr>
            <w:rStyle w:val="Hyperlink"/>
            <w:noProof/>
          </w:rPr>
          <w:t>Clients</w:t>
        </w:r>
        <w:r w:rsidR="00B5239D">
          <w:rPr>
            <w:noProof/>
            <w:webHidden/>
          </w:rPr>
          <w:tab/>
        </w:r>
        <w:r>
          <w:rPr>
            <w:noProof/>
            <w:webHidden/>
          </w:rPr>
          <w:fldChar w:fldCharType="begin"/>
        </w:r>
        <w:r w:rsidR="00B5239D">
          <w:rPr>
            <w:noProof/>
            <w:webHidden/>
          </w:rPr>
          <w:instrText xml:space="preserve"> PAGEREF _Toc182825601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602" w:history="1">
        <w:r w:rsidR="00B5239D" w:rsidRPr="00144B91">
          <w:rPr>
            <w:rStyle w:val="Hyperlink"/>
            <w:noProof/>
          </w:rPr>
          <w:t>Configuration Files</w:t>
        </w:r>
        <w:r w:rsidR="00B5239D">
          <w:rPr>
            <w:noProof/>
            <w:webHidden/>
          </w:rPr>
          <w:tab/>
        </w:r>
        <w:r>
          <w:rPr>
            <w:noProof/>
            <w:webHidden/>
          </w:rPr>
          <w:fldChar w:fldCharType="begin"/>
        </w:r>
        <w:r w:rsidR="00B5239D">
          <w:rPr>
            <w:noProof/>
            <w:webHidden/>
          </w:rPr>
          <w:instrText xml:space="preserve"> PAGEREF _Toc182825602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26B3A">
      <w:pPr>
        <w:pStyle w:val="TOC3"/>
        <w:tabs>
          <w:tab w:val="right" w:leader="dot" w:pos="9016"/>
        </w:tabs>
        <w:rPr>
          <w:rFonts w:eastAsiaTheme="minorEastAsia"/>
          <w:noProof/>
          <w:lang w:eastAsia="en-GB"/>
        </w:rPr>
      </w:pPr>
      <w:hyperlink w:anchor="_Toc182825603" w:history="1">
        <w:r w:rsidR="00B5239D" w:rsidRPr="00144B91">
          <w:rPr>
            <w:rStyle w:val="Hyperlink"/>
            <w:noProof/>
          </w:rPr>
          <w:t>Service Configuration</w:t>
        </w:r>
        <w:r w:rsidR="00B5239D">
          <w:rPr>
            <w:noProof/>
            <w:webHidden/>
          </w:rPr>
          <w:tab/>
        </w:r>
        <w:r>
          <w:rPr>
            <w:noProof/>
            <w:webHidden/>
          </w:rPr>
          <w:fldChar w:fldCharType="begin"/>
        </w:r>
        <w:r w:rsidR="00B5239D">
          <w:rPr>
            <w:noProof/>
            <w:webHidden/>
          </w:rPr>
          <w:instrText xml:space="preserve"> PAGEREF _Toc182825603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B26B3A">
      <w:pPr>
        <w:pStyle w:val="TOC3"/>
        <w:tabs>
          <w:tab w:val="right" w:leader="dot" w:pos="9016"/>
        </w:tabs>
        <w:rPr>
          <w:rFonts w:eastAsiaTheme="minorEastAsia"/>
          <w:noProof/>
          <w:lang w:eastAsia="en-GB"/>
        </w:rPr>
      </w:pPr>
      <w:hyperlink w:anchor="_Toc182825604" w:history="1">
        <w:r w:rsidR="00B5239D" w:rsidRPr="00144B91">
          <w:rPr>
            <w:rStyle w:val="Hyperlink"/>
            <w:noProof/>
          </w:rPr>
          <w:t>Client Configuration</w:t>
        </w:r>
        <w:r w:rsidR="00B5239D">
          <w:rPr>
            <w:noProof/>
            <w:webHidden/>
          </w:rPr>
          <w:tab/>
        </w:r>
        <w:r>
          <w:rPr>
            <w:noProof/>
            <w:webHidden/>
          </w:rPr>
          <w:fldChar w:fldCharType="begin"/>
        </w:r>
        <w:r w:rsidR="00B5239D">
          <w:rPr>
            <w:noProof/>
            <w:webHidden/>
          </w:rPr>
          <w:instrText xml:space="preserve"> PAGEREF _Toc182825604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B26B3A">
      <w:pPr>
        <w:pStyle w:val="TOC1"/>
        <w:tabs>
          <w:tab w:val="right" w:leader="dot" w:pos="9016"/>
        </w:tabs>
        <w:rPr>
          <w:rFonts w:eastAsiaTheme="minorEastAsia"/>
          <w:noProof/>
          <w:lang w:eastAsia="en-GB"/>
        </w:rPr>
      </w:pPr>
      <w:hyperlink w:anchor="_Toc182825605" w:history="1">
        <w:r w:rsidR="00B5239D" w:rsidRPr="00144B91">
          <w:rPr>
            <w:rStyle w:val="Hyperlink"/>
            <w:noProof/>
          </w:rPr>
          <w:t>Known Limitations</w:t>
        </w:r>
        <w:r w:rsidR="00B5239D">
          <w:rPr>
            <w:noProof/>
            <w:webHidden/>
          </w:rPr>
          <w:tab/>
        </w:r>
        <w:r>
          <w:rPr>
            <w:noProof/>
            <w:webHidden/>
          </w:rPr>
          <w:fldChar w:fldCharType="begin"/>
        </w:r>
        <w:r w:rsidR="00B5239D">
          <w:rPr>
            <w:noProof/>
            <w:webHidden/>
          </w:rPr>
          <w:instrText xml:space="preserve"> PAGEREF _Toc182825605 \h </w:instrText>
        </w:r>
        <w:r>
          <w:rPr>
            <w:noProof/>
            <w:webHidden/>
          </w:rPr>
        </w:r>
        <w:r>
          <w:rPr>
            <w:noProof/>
            <w:webHidden/>
          </w:rPr>
          <w:fldChar w:fldCharType="separate"/>
        </w:r>
        <w:r w:rsidR="00936655">
          <w:rPr>
            <w:noProof/>
            <w:webHidden/>
          </w:rPr>
          <w:t>7</w:t>
        </w:r>
        <w:r>
          <w:rPr>
            <w:noProof/>
            <w:webHidden/>
          </w:rPr>
          <w:fldChar w:fldCharType="end"/>
        </w:r>
      </w:hyperlink>
    </w:p>
    <w:p w:rsidR="00B5239D" w:rsidRDefault="00B26B3A">
      <w:pPr>
        <w:pStyle w:val="TOC1"/>
        <w:tabs>
          <w:tab w:val="right" w:leader="dot" w:pos="9016"/>
        </w:tabs>
        <w:rPr>
          <w:rFonts w:eastAsiaTheme="minorEastAsia"/>
          <w:noProof/>
          <w:lang w:eastAsia="en-GB"/>
        </w:rPr>
      </w:pPr>
      <w:hyperlink w:anchor="_Toc182825606" w:history="1">
        <w:r w:rsidR="00B5239D" w:rsidRPr="00144B91">
          <w:rPr>
            <w:rStyle w:val="Hyperlink"/>
            <w:noProof/>
          </w:rPr>
          <w:t>Reference</w:t>
        </w:r>
        <w:r w:rsidR="00B5239D">
          <w:rPr>
            <w:noProof/>
            <w:webHidden/>
          </w:rPr>
          <w:tab/>
        </w:r>
        <w:r>
          <w:rPr>
            <w:noProof/>
            <w:webHidden/>
          </w:rPr>
          <w:fldChar w:fldCharType="begin"/>
        </w:r>
        <w:r w:rsidR="00B5239D">
          <w:rPr>
            <w:noProof/>
            <w:webHidden/>
          </w:rPr>
          <w:instrText xml:space="preserve"> PAGEREF _Toc182825606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607" w:history="1">
        <w:r w:rsidR="00B5239D" w:rsidRPr="00144B91">
          <w:rPr>
            <w:rStyle w:val="Hyperlink"/>
            <w:noProof/>
          </w:rPr>
          <w:t>RabbitMQBinding</w:t>
        </w:r>
        <w:r w:rsidR="00B5239D">
          <w:rPr>
            <w:noProof/>
            <w:webHidden/>
          </w:rPr>
          <w:tab/>
        </w:r>
        <w:r>
          <w:rPr>
            <w:noProof/>
            <w:webHidden/>
          </w:rPr>
          <w:fldChar w:fldCharType="begin"/>
        </w:r>
        <w:r w:rsidR="00B5239D">
          <w:rPr>
            <w:noProof/>
            <w:webHidden/>
          </w:rPr>
          <w:instrText xml:space="preserve"> PAGEREF _Toc182825607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608" w:history="1">
        <w:r w:rsidR="00B5239D" w:rsidRPr="00144B91">
          <w:rPr>
            <w:rStyle w:val="Hyperlink"/>
            <w:noProof/>
          </w:rPr>
          <w:t>RabbitMQTransportBindingElement</w:t>
        </w:r>
        <w:r w:rsidR="00B5239D">
          <w:rPr>
            <w:noProof/>
            <w:webHidden/>
          </w:rPr>
          <w:tab/>
        </w:r>
        <w:r>
          <w:rPr>
            <w:noProof/>
            <w:webHidden/>
          </w:rPr>
          <w:fldChar w:fldCharType="begin"/>
        </w:r>
        <w:r w:rsidR="00B5239D">
          <w:rPr>
            <w:noProof/>
            <w:webHidden/>
          </w:rPr>
          <w:instrText xml:space="preserve"> PAGEREF _Toc182825608 \h </w:instrText>
        </w:r>
        <w:r>
          <w:rPr>
            <w:noProof/>
            <w:webHidden/>
          </w:rPr>
        </w:r>
        <w:r>
          <w:rPr>
            <w:noProof/>
            <w:webHidden/>
          </w:rPr>
          <w:fldChar w:fldCharType="separate"/>
        </w:r>
        <w:r w:rsidR="00936655">
          <w:rPr>
            <w:noProof/>
            <w:webHidden/>
          </w:rPr>
          <w:t>9</w:t>
        </w:r>
        <w:r>
          <w:rPr>
            <w:noProof/>
            <w:webHidden/>
          </w:rPr>
          <w:fldChar w:fldCharType="end"/>
        </w:r>
      </w:hyperlink>
    </w:p>
    <w:p w:rsidR="00B5239D" w:rsidRDefault="00B26B3A">
      <w:pPr>
        <w:pStyle w:val="TOC2"/>
        <w:tabs>
          <w:tab w:val="right" w:leader="dot" w:pos="9016"/>
        </w:tabs>
        <w:rPr>
          <w:rFonts w:eastAsiaTheme="minorEastAsia"/>
          <w:noProof/>
          <w:lang w:eastAsia="en-GB"/>
        </w:rPr>
      </w:pPr>
      <w:hyperlink w:anchor="_Toc182825609" w:history="1">
        <w:r w:rsidR="00B5239D" w:rsidRPr="00144B91">
          <w:rPr>
            <w:rStyle w:val="Hyperlink"/>
            <w:noProof/>
          </w:rPr>
          <w:t>RabbitMQBindingConfigurationElement</w:t>
        </w:r>
        <w:r w:rsidR="00B5239D">
          <w:rPr>
            <w:noProof/>
            <w:webHidden/>
          </w:rPr>
          <w:tab/>
        </w:r>
        <w:r>
          <w:rPr>
            <w:noProof/>
            <w:webHidden/>
          </w:rPr>
          <w:fldChar w:fldCharType="begin"/>
        </w:r>
        <w:r w:rsidR="00B5239D">
          <w:rPr>
            <w:noProof/>
            <w:webHidden/>
          </w:rPr>
          <w:instrText xml:space="preserve"> PAGEREF _Toc182825609 \h </w:instrText>
        </w:r>
        <w:r>
          <w:rPr>
            <w:noProof/>
            <w:webHidden/>
          </w:rPr>
        </w:r>
        <w:r>
          <w:rPr>
            <w:noProof/>
            <w:webHidden/>
          </w:rPr>
          <w:fldChar w:fldCharType="separate"/>
        </w:r>
        <w:r w:rsidR="00936655">
          <w:rPr>
            <w:noProof/>
            <w:webHidden/>
          </w:rPr>
          <w:t>9</w:t>
        </w:r>
        <w:r>
          <w:rPr>
            <w:noProof/>
            <w:webHidden/>
          </w:rPr>
          <w:fldChar w:fldCharType="end"/>
        </w:r>
      </w:hyperlink>
    </w:p>
    <w:p w:rsidR="00E67DF8" w:rsidRDefault="00B26B3A" w:rsidP="00E67DF8">
      <w:r>
        <w:fldChar w:fldCharType="end"/>
      </w:r>
    </w:p>
    <w:p w:rsidR="00CD54B4" w:rsidRDefault="00E67DF8" w:rsidP="00CD54B4">
      <w:pPr>
        <w:pStyle w:val="Heading1"/>
      </w:pPr>
      <w:bookmarkStart w:id="0" w:name="_Toc182825587"/>
      <w:r>
        <w:t>An A</w:t>
      </w:r>
      <w:r w:rsidR="00CD54B4">
        <w:t>MQ</w:t>
      </w:r>
      <w:r>
        <w:t>P</w:t>
      </w:r>
      <w:r w:rsidR="00CD54B4">
        <w:t xml:space="preserve"> Binding for WCF</w:t>
      </w:r>
      <w:bookmarkEnd w:id="0"/>
    </w:p>
    <w:p w:rsidR="00A600F3" w:rsidRDefault="00A600F3" w:rsidP="00CD54B4">
      <w:r>
        <w:t xml:space="preserve">The Windows Communication Foundation (WCF) enabled protocol independent service oriented applications to be built; RabbitMQ.net extends the framework by providing a </w:t>
      </w:r>
      <w:r w:rsidRPr="00A600F3">
        <w:rPr>
          <w:i/>
        </w:rPr>
        <w:t>Binding</w:t>
      </w:r>
      <w:r>
        <w:t xml:space="preserve"> and </w:t>
      </w:r>
      <w:r w:rsidRPr="00A600F3">
        <w:rPr>
          <w:i/>
        </w:rPr>
        <w:t>Transport Binding Element</w:t>
      </w:r>
      <w:r>
        <w:t xml:space="preserve"> over AMQP. In the language of WCF, a </w:t>
      </w:r>
      <w:r w:rsidRPr="00A600F3">
        <w:rPr>
          <w:i/>
        </w:rPr>
        <w:t>Binding</w:t>
      </w:r>
      <w:r>
        <w:t xml:space="preserve"> is a stack of </w:t>
      </w:r>
      <w:r w:rsidRPr="00A600F3">
        <w:rPr>
          <w:i/>
        </w:rPr>
        <w:t>Binding Elements</w:t>
      </w:r>
      <w:r>
        <w:t xml:space="preserve"> which control all aspects of the service’s communication (for example, Security, Message Format and Transactions). A specialized kind of Binding Element, the </w:t>
      </w:r>
      <w:r>
        <w:rPr>
          <w:i/>
        </w:rPr>
        <w:t>Transport Binding Element</w:t>
      </w:r>
      <w:r>
        <w:t xml:space="preserve"> specifies the </w:t>
      </w:r>
      <w:r>
        <w:lastRenderedPageBreak/>
        <w:t xml:space="preserve">protocol to be used for communication between a service and its clients (for example WS-HTTP, MSMQ or .Net Remoting over TCP). </w:t>
      </w:r>
    </w:p>
    <w:p w:rsidR="00602922" w:rsidRDefault="00A600F3" w:rsidP="00CD54B4">
      <w:r>
        <w:t>The RabbitMQ Binding provides</w:t>
      </w:r>
      <w:r w:rsidR="00602922">
        <w:t xml:space="preserve"> </w:t>
      </w:r>
      <w:r w:rsidRPr="00602922">
        <w:rPr>
          <w:i/>
        </w:rPr>
        <w:t>OneWay</w:t>
      </w:r>
      <w:r w:rsidR="00602922">
        <w:t xml:space="preserve"> (‘Fire and Forget’), </w:t>
      </w:r>
      <w:r w:rsidR="00602922" w:rsidRPr="00602922">
        <w:rPr>
          <w:i/>
        </w:rPr>
        <w:t>TwoWay</w:t>
      </w:r>
      <w:r w:rsidR="00602922">
        <w:t xml:space="preserve"> (Request/Reply)</w:t>
      </w:r>
      <w:r>
        <w:t xml:space="preserve"> and </w:t>
      </w:r>
      <w:r w:rsidRPr="00602922">
        <w:rPr>
          <w:i/>
        </w:rPr>
        <w:t>Duplex</w:t>
      </w:r>
      <w:r w:rsidR="00602922">
        <w:t xml:space="preserve"> (Asynchronous Callback)</w:t>
      </w:r>
      <w:r>
        <w:t xml:space="preserve"> communication over AMQP</w:t>
      </w:r>
      <w:r w:rsidR="00E04A6E">
        <w:t xml:space="preserve"> with WS-ReliableS</w:t>
      </w:r>
      <w:r w:rsidR="007C3056">
        <w:t>essions, WS-A</w:t>
      </w:r>
      <w:r w:rsidR="00E04A6E">
        <w:t>tomic</w:t>
      </w:r>
      <w:r w:rsidR="007C3056">
        <w:t>Transactions and Text (SOAP 1.2) message encoding. The binding can be configured from imperative code or using the standard WCF Configuration model.</w:t>
      </w:r>
    </w:p>
    <w:p w:rsidR="00602922" w:rsidRDefault="007C3056" w:rsidP="00CD54B4">
      <w:r>
        <w:t>A Transport Binding Element is also supplied and can be used in the construction of Custom Bindings</w:t>
      </w:r>
      <w:r>
        <w:rPr>
          <w:rStyle w:val="FootnoteReference"/>
        </w:rPr>
        <w:footnoteReference w:id="2"/>
      </w:r>
      <w:r>
        <w:t xml:space="preserve"> if the channel stack provided by the RabbitMQ Binding is insufficient. The transport binding must be configured with a Broker Address and Protocol Version prior to use.</w:t>
      </w:r>
    </w:p>
    <w:p w:rsidR="00D42011" w:rsidRDefault="00D42011" w:rsidP="00D42011">
      <w:pPr>
        <w:pStyle w:val="Heading2"/>
      </w:pPr>
      <w:bookmarkStart w:id="1" w:name="_Toc182825588"/>
      <w:r>
        <w:t>Service Addressing</w:t>
      </w:r>
      <w:bookmarkEnd w:id="1"/>
    </w:p>
    <w:p w:rsidR="00D42011" w:rsidRDefault="00D42011" w:rsidP="00D42011">
      <w:r>
        <w:t xml:space="preserve">Services hosted using the RabbitMQ binding must be hosted at addresses under the </w:t>
      </w:r>
      <w:r w:rsidRPr="00D42011">
        <w:rPr>
          <w:rFonts w:ascii="Consolas" w:hAnsi="Consolas"/>
          <w:b/>
          <w:sz w:val="20"/>
          <w:szCs w:val="20"/>
        </w:rPr>
        <w:t>soap.amqp</w:t>
      </w:r>
      <w:r>
        <w:t xml:space="preserve"> scheme.</w:t>
      </w:r>
      <w:r w:rsidR="00F41526" w:rsidRPr="00F41526">
        <w:t xml:space="preserve"> </w:t>
      </w:r>
      <w:r w:rsidR="00F41526">
        <w:t xml:space="preserve"> If the exchange name is omitted, the default exchange is used. The service name must not be omitted.</w:t>
      </w:r>
    </w:p>
    <w:p w:rsidR="00F41526" w:rsidRDefault="00F41526" w:rsidP="00B82355">
      <w:pPr>
        <w:pStyle w:val="CodeBlock"/>
      </w:pPr>
      <w:r>
        <w:t>serviceA</w:t>
      </w:r>
      <w:r w:rsidR="00D42011">
        <w:t>ddress</w:t>
      </w:r>
      <w:r>
        <w:t xml:space="preserve"> </w:t>
      </w:r>
      <w:r w:rsidR="00D42011">
        <w:t>= “soap.amqp://” [exchangeName] “/” serviceName</w:t>
      </w:r>
    </w:p>
    <w:p w:rsidR="00F41526" w:rsidRDefault="00F41526" w:rsidP="00F41526">
      <w:r>
        <w:t>Note the difference between service and broker addresses:</w:t>
      </w:r>
    </w:p>
    <w:p w:rsidR="00F41526" w:rsidRDefault="00F41526" w:rsidP="00B82355">
      <w:pPr>
        <w:pStyle w:val="CodeBlock"/>
      </w:pPr>
      <w:r>
        <w:t>brokerAddress  = “amqp://” host [“:” port] [“/”]</w:t>
      </w:r>
    </w:p>
    <w:p w:rsidR="00CD54B4" w:rsidRDefault="00CD54B4" w:rsidP="00CD54B4">
      <w:pPr>
        <w:pStyle w:val="Heading1"/>
      </w:pPr>
      <w:bookmarkStart w:id="2" w:name="_Toc182825589"/>
      <w:r>
        <w:t>Building the Binding and Samples</w:t>
      </w:r>
      <w:bookmarkEnd w:id="2"/>
    </w:p>
    <w:p w:rsidR="00CD54B4" w:rsidRDefault="00E67DF8" w:rsidP="00CD54B4">
      <w:r>
        <w:t xml:space="preserve">The RabbitMQ binding to WCF and associated samples can be built automatically using Nant. For more information about Nant, visit http://nant.sourceforge.net/. </w:t>
      </w:r>
      <w:r w:rsidR="00CD54B4">
        <w:t>To build the library and Sample Applications from a console window, change to the RabbitMQ.net drop location and execute:</w:t>
      </w:r>
    </w:p>
    <w:p w:rsidR="00B11B16" w:rsidRDefault="00CD54B4" w:rsidP="00B82355">
      <w:pPr>
        <w:pStyle w:val="CodeBlock"/>
      </w:pPr>
      <w:r w:rsidRPr="00CD54B4">
        <w:t>nant build-wcf</w:t>
      </w:r>
    </w:p>
    <w:p w:rsidR="00CD54B4" w:rsidRDefault="00CD54B4" w:rsidP="00B82355">
      <w:pPr>
        <w:pStyle w:val="CodeBlock"/>
      </w:pPr>
      <w:r>
        <w:t>nant wcf-examples</w:t>
      </w:r>
    </w:p>
    <w:p w:rsidR="00CD54B4" w:rsidRDefault="00CD54B4" w:rsidP="00CD54B4">
      <w:r>
        <w:t>Alternatively, users of Microsoft Visual Studio should open the following C# projects:</w:t>
      </w:r>
    </w:p>
    <w:p w:rsidR="00B11B16" w:rsidRDefault="00CD54B4" w:rsidP="00B82355">
      <w:pPr>
        <w:pStyle w:val="CodeBlock"/>
      </w:pPr>
      <w:r w:rsidRPr="00CD54B4">
        <w:t>src\wcf\RabbitMQ.ServiceModel\RabbitMQ.ServiceModel.csproj</w:t>
      </w:r>
    </w:p>
    <w:p w:rsidR="00CD54B4" w:rsidRPr="00CD54B4" w:rsidRDefault="00CD54B4" w:rsidP="00B82355">
      <w:pPr>
        <w:pStyle w:val="CodeBlock"/>
      </w:pPr>
      <w:r w:rsidRPr="00CD54B4">
        <w:t>src\wcf\</w:t>
      </w:r>
      <w:r>
        <w:t>Test</w:t>
      </w:r>
      <w:r w:rsidRPr="00CD54B4">
        <w:t>\RabbitMQ.ServiceModel</w:t>
      </w:r>
      <w:r>
        <w:t>.</w:t>
      </w:r>
      <w:r w:rsidRPr="00CD54B4">
        <w:t>Test.csproj</w:t>
      </w:r>
    </w:p>
    <w:p w:rsidR="00CD54B4" w:rsidRDefault="00CD54B4" w:rsidP="00CD54B4">
      <w:r>
        <w:t xml:space="preserve">The WCF Binding is built into the RabbitMQ.ServiceModel.dll assembly and copied to the </w:t>
      </w:r>
      <w:r>
        <w:rPr>
          <w:i/>
        </w:rPr>
        <w:t>bin</w:t>
      </w:r>
      <w:r>
        <w:t xml:space="preserve"> directory of the </w:t>
      </w:r>
      <w:r w:rsidR="00E67DF8">
        <w:t xml:space="preserve">RabbitMQ.ServiceModel </w:t>
      </w:r>
      <w:r>
        <w:t>project</w:t>
      </w:r>
      <w:r w:rsidR="00E67DF8">
        <w:t xml:space="preserve"> and the sample applications are built into the </w:t>
      </w:r>
      <w:r w:rsidR="00E67DF8" w:rsidRPr="00E67DF8">
        <w:rPr>
          <w:i/>
        </w:rPr>
        <w:t>bin</w:t>
      </w:r>
      <w:r w:rsidR="00E67DF8">
        <w:t xml:space="preserve"> directory of the Test project</w:t>
      </w:r>
      <w:r>
        <w:t>.</w:t>
      </w:r>
      <w:r w:rsidR="00E67DF8">
        <w:t xml:space="preserve"> To run the sample applications (verifying the build and your environment configuration) execute the RabbitMQ.ServiceModel.Test.exe application.</w:t>
      </w:r>
    </w:p>
    <w:p w:rsidR="00CB731F" w:rsidRDefault="00CB731F" w:rsidP="00CD54B4">
      <w:r>
        <w:t>By default, the sample applications use a test broker available at dev.rabbitmq.com, you can modify the broker address and version by opening and editing the appSettings section of the Application Configuration file (App.Config) for the Test Project.</w:t>
      </w:r>
    </w:p>
    <w:p w:rsidR="00E04A6E" w:rsidRDefault="00E04A6E" w:rsidP="00E04A6E">
      <w:pPr>
        <w:pStyle w:val="Heading1"/>
      </w:pPr>
      <w:bookmarkStart w:id="3" w:name="_Toc182825590"/>
      <w:r>
        <w:lastRenderedPageBreak/>
        <w:t>The ABCs of WCF</w:t>
      </w:r>
      <w:bookmarkEnd w:id="3"/>
    </w:p>
    <w:p w:rsidR="00E04A6E" w:rsidRDefault="00E04A6E" w:rsidP="00E04A6E">
      <w:r>
        <w:t xml:space="preserve">Each Windows Communication Foundation service is built from three components, an </w:t>
      </w:r>
      <w:r w:rsidRPr="00E04A6E">
        <w:rPr>
          <w:i/>
        </w:rPr>
        <w:t>Address</w:t>
      </w:r>
      <w:r>
        <w:t xml:space="preserve">, </w:t>
      </w:r>
      <w:r w:rsidRPr="00E04A6E">
        <w:rPr>
          <w:i/>
        </w:rPr>
        <w:t>Behaviours</w:t>
      </w:r>
      <w:r>
        <w:t xml:space="preserve"> and a </w:t>
      </w:r>
      <w:r w:rsidRPr="00E04A6E">
        <w:rPr>
          <w:i/>
        </w:rPr>
        <w:t>Contract</w:t>
      </w:r>
      <w:r>
        <w:t xml:space="preserve">. </w:t>
      </w:r>
      <w:r w:rsidR="00FE4561">
        <w:t xml:space="preserve">For more information, see </w:t>
      </w:r>
      <w:r w:rsidR="00FE4561" w:rsidRPr="00FE4561">
        <w:t>http://wcf.netfx3.com/</w:t>
      </w:r>
      <w:r w:rsidR="00FE4561">
        <w:t>.</w:t>
      </w:r>
    </w:p>
    <w:p w:rsidR="00244BCF" w:rsidRDefault="00244BCF" w:rsidP="00244BCF">
      <w:pPr>
        <w:pStyle w:val="Heading2"/>
      </w:pPr>
      <w:bookmarkStart w:id="4" w:name="_Toc182825591"/>
      <w:r>
        <w:t>Contract</w:t>
      </w:r>
      <w:bookmarkEnd w:id="4"/>
    </w:p>
    <w:p w:rsidR="00244BCF" w:rsidRDefault="00244BCF" w:rsidP="00244BCF">
      <w:r>
        <w:t>A service contract is an interface decorated with the ServiceContractAttribute</w:t>
      </w:r>
      <w:r>
        <w:rPr>
          <w:rStyle w:val="FootnoteReference"/>
        </w:rPr>
        <w:footnoteReference w:id="3"/>
      </w:r>
      <w:r>
        <w:t xml:space="preserve"> and has one or more methods (or property accessors) decorated with the OperationContractAttribute. Typically the contract exists in an assembly that can be shared between client and server applications.</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interface</w:t>
      </w:r>
      <w:r w:rsidRPr="00FE4561">
        <w:rPr>
          <w:rFonts w:ascii="Consolas" w:hAnsi="Consolas"/>
          <w:b/>
          <w:noProof/>
          <w:sz w:val="20"/>
          <w:szCs w:val="20"/>
        </w:rPr>
        <w:t xml:space="preserve"> </w:t>
      </w:r>
      <w:r w:rsidRPr="00FE4561">
        <w:rPr>
          <w:rFonts w:ascii="Consolas" w:hAnsi="Consolas"/>
          <w:b/>
          <w:noProof/>
          <w:color w:val="2B91AF"/>
          <w:sz w:val="20"/>
          <w:szCs w:val="20"/>
        </w:rPr>
        <w:t>ICalculator</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244BCF" w:rsidRPr="00FE4561" w:rsidRDefault="00244BCF" w:rsidP="00FE4561">
      <w:pPr>
        <w:ind w:left="720"/>
        <w:rPr>
          <w:b/>
        </w:rPr>
      </w:pPr>
      <w:r w:rsidRPr="00FE4561">
        <w:rPr>
          <w:rFonts w:ascii="Consolas" w:hAnsi="Consolas"/>
          <w:b/>
          <w:noProof/>
          <w:sz w:val="20"/>
          <w:szCs w:val="20"/>
        </w:rPr>
        <w:t>}</w:t>
      </w:r>
    </w:p>
    <w:p w:rsidR="00244BCF" w:rsidRDefault="00244BCF" w:rsidP="00244BCF">
      <w:pPr>
        <w:pStyle w:val="Heading2"/>
      </w:pPr>
      <w:bookmarkStart w:id="5" w:name="_Toc182825592"/>
      <w:r>
        <w:t>Behaviour</w:t>
      </w:r>
      <w:bookmarkEnd w:id="5"/>
    </w:p>
    <w:p w:rsidR="00FE4561" w:rsidRDefault="00FE4561" w:rsidP="00FE4561">
      <w:r>
        <w:t>The contract for a service specifies what the operations the service agrees to provide, the behaviour specifies the implementation for that service. A behaviour is a class implementing the contract and optionally decorated with the ServiceBehavior Attribute.</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ServiceBehavior</w:t>
      </w:r>
      <w:r w:rsidRPr="00FE4561">
        <w:rPr>
          <w:rFonts w:ascii="Consolas" w:hAnsi="Consolas"/>
          <w:b/>
          <w:noProof/>
          <w:sz w:val="20"/>
          <w:szCs w:val="20"/>
        </w:rPr>
        <w:t>(InstanceContextMode=</w:t>
      </w:r>
      <w:r w:rsidRPr="00FE4561">
        <w:rPr>
          <w:rFonts w:ascii="Consolas" w:hAnsi="Consolas"/>
          <w:b/>
          <w:noProof/>
          <w:color w:val="2B91AF"/>
          <w:sz w:val="20"/>
          <w:szCs w:val="20"/>
        </w:rPr>
        <w:t>InstanceContextMode</w:t>
      </w:r>
      <w:r w:rsidRPr="00FE4561">
        <w:rPr>
          <w:rFonts w:ascii="Consolas" w:hAnsi="Consolas"/>
          <w:b/>
          <w:noProof/>
          <w:sz w:val="20"/>
          <w:szCs w:val="20"/>
        </w:rPr>
        <w:t>.PerCall)]</w:t>
      </w:r>
    </w:p>
    <w:p w:rsidR="00FE4561" w:rsidRPr="00FE4561" w:rsidRDefault="00FE4561"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sealed</w:t>
      </w:r>
      <w:r w:rsidRPr="00FE4561">
        <w:rPr>
          <w:rFonts w:ascii="Consolas" w:hAnsi="Consolas"/>
          <w:b/>
          <w:noProof/>
          <w:sz w:val="20"/>
          <w:szCs w:val="20"/>
        </w:rPr>
        <w:t xml:space="preserve"> </w:t>
      </w:r>
      <w:r w:rsidRPr="00FE4561">
        <w:rPr>
          <w:rFonts w:ascii="Consolas" w:hAnsi="Consolas"/>
          <w:b/>
          <w:noProof/>
          <w:color w:val="0000FF"/>
          <w:sz w:val="20"/>
          <w:szCs w:val="20"/>
        </w:rPr>
        <w:t>class</w:t>
      </w:r>
      <w:r w:rsidRPr="00FE4561">
        <w:rPr>
          <w:rFonts w:ascii="Consolas" w:hAnsi="Consolas"/>
          <w:b/>
          <w:noProof/>
          <w:sz w:val="20"/>
          <w:szCs w:val="20"/>
        </w:rPr>
        <w:t xml:space="preserve"> </w:t>
      </w:r>
      <w:r w:rsidRPr="00FE4561">
        <w:rPr>
          <w:rFonts w:ascii="Consolas" w:hAnsi="Consolas"/>
          <w:b/>
          <w:noProof/>
          <w:color w:val="2B91AF"/>
          <w:sz w:val="20"/>
          <w:szCs w:val="20"/>
        </w:rPr>
        <w:t>Calculator</w:t>
      </w:r>
      <w:r w:rsidRPr="00FE4561">
        <w:rPr>
          <w:rFonts w:ascii="Consolas" w:hAnsi="Consolas"/>
          <w:b/>
          <w:noProof/>
          <w:sz w:val="20"/>
          <w:szCs w:val="20"/>
        </w:rPr>
        <w:t xml:space="preserve"> : </w:t>
      </w:r>
      <w:r w:rsidRPr="00FE4561">
        <w:rPr>
          <w:rFonts w:ascii="Consolas" w:hAnsi="Consolas"/>
          <w:b/>
          <w:noProof/>
          <w:color w:val="2B91AF"/>
          <w:sz w:val="20"/>
          <w:szCs w:val="20"/>
        </w:rPr>
        <w:t>ICalculator</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firstLine="72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Default="00244BCF" w:rsidP="00244BCF">
      <w:pPr>
        <w:pStyle w:val="Heading2"/>
      </w:pPr>
      <w:bookmarkStart w:id="6" w:name="_Toc182825593"/>
      <w:r>
        <w:t>Address</w:t>
      </w:r>
      <w:bookmarkEnd w:id="6"/>
    </w:p>
    <w:p w:rsidR="00244BCF" w:rsidRPr="00244BCF" w:rsidRDefault="00244BCF" w:rsidP="00244BCF">
      <w:r>
        <w:t>For a service to be useful, it must be reachable and therefore hosted. The two common hosting scenarios for WCF services are IIS and ServiceHost. IIS Hosting is untested and unsupported by the RabbitMQ binding and using System.ServiceModel.ServiceHost is the recommended hosting path. A service host instance is constructed with the type of service</w:t>
      </w:r>
      <w:r w:rsidR="00FE4561">
        <w:t xml:space="preserve"> behaviour</w:t>
      </w:r>
      <w:r>
        <w:t xml:space="preserve"> being hosted and a description of the endpoint(s) it will be published on. The endpoints consist of Addresses (e.g. soap.amp:///MyService) and Bindings; they may be specified directly as constructor arguments in imperative code or declaratively through WCF configuration files, both are supported by RabbitMQ.net.</w:t>
      </w:r>
    </w:p>
    <w:p w:rsidR="00B11B16" w:rsidRDefault="00B11B16">
      <w:pPr>
        <w:jc w:val="left"/>
        <w:rPr>
          <w:rFonts w:asciiTheme="majorHAnsi" w:eastAsiaTheme="majorEastAsia" w:hAnsiTheme="majorHAnsi" w:cstheme="majorBidi"/>
          <w:b/>
          <w:bCs/>
          <w:color w:val="365F91" w:themeColor="accent1" w:themeShade="BF"/>
          <w:sz w:val="28"/>
          <w:szCs w:val="28"/>
        </w:rPr>
      </w:pPr>
      <w:r>
        <w:br w:type="page"/>
      </w:r>
    </w:p>
    <w:p w:rsidR="00E67DF8" w:rsidRDefault="001056BE" w:rsidP="00E67DF8">
      <w:pPr>
        <w:pStyle w:val="Heading1"/>
      </w:pPr>
      <w:bookmarkStart w:id="7" w:name="_Toc182825594"/>
      <w:r>
        <w:lastRenderedPageBreak/>
        <w:t>Sample Services</w:t>
      </w:r>
      <w:bookmarkEnd w:id="7"/>
    </w:p>
    <w:p w:rsidR="001056BE" w:rsidRDefault="001056BE" w:rsidP="001056BE">
      <w:r>
        <w:t>The sample services referred to in this section are located in the src\wcf\Test project.</w:t>
      </w:r>
    </w:p>
    <w:p w:rsidR="001056BE" w:rsidRDefault="001056BE" w:rsidP="001056BE">
      <w:pPr>
        <w:pStyle w:val="Heading2"/>
      </w:pPr>
      <w:bookmarkStart w:id="8" w:name="_Toc182825595"/>
      <w:r>
        <w:t>One Way Services</w:t>
      </w:r>
      <w:bookmarkEnd w:id="8"/>
    </w:p>
    <w:p w:rsidR="001056BE" w:rsidRDefault="006868CC" w:rsidP="001056BE">
      <w:r>
        <w:t>Operations on a service can b</w:t>
      </w:r>
      <w:r w:rsidR="001056BE">
        <w:t>e marked as One Way; this means there will be no response from the service when the operation completes. One Way operations always have return type void and have an OperationContractAttribute with IsOneWay set equal to true decorating them.</w:t>
      </w:r>
    </w:p>
    <w:p w:rsidR="001056BE" w:rsidRPr="001056BE" w:rsidRDefault="001056BE" w:rsidP="001056BE">
      <w:pPr>
        <w:autoSpaceDE w:val="0"/>
        <w:autoSpaceDN w:val="0"/>
        <w:adjustRightInd w:val="0"/>
        <w:spacing w:after="0" w:line="240" w:lineRule="auto"/>
        <w:ind w:left="720"/>
        <w:jc w:val="left"/>
        <w:rPr>
          <w:rFonts w:ascii="Consolas" w:hAnsi="Consolas"/>
          <w:b/>
          <w:noProof/>
          <w:sz w:val="20"/>
          <w:szCs w:val="20"/>
        </w:rPr>
      </w:pPr>
      <w:r w:rsidRPr="001056BE">
        <w:rPr>
          <w:rFonts w:ascii="Consolas" w:hAnsi="Consolas"/>
          <w:b/>
          <w:noProof/>
          <w:sz w:val="20"/>
          <w:szCs w:val="20"/>
        </w:rPr>
        <w:t>[</w:t>
      </w:r>
      <w:r w:rsidRPr="001056BE">
        <w:rPr>
          <w:rFonts w:ascii="Consolas" w:hAnsi="Consolas"/>
          <w:b/>
          <w:noProof/>
          <w:color w:val="2B91AF"/>
          <w:sz w:val="20"/>
          <w:szCs w:val="20"/>
        </w:rPr>
        <w:t>OperationContract</w:t>
      </w:r>
      <w:r w:rsidRPr="001056BE">
        <w:rPr>
          <w:rFonts w:ascii="Consolas" w:hAnsi="Consolas"/>
          <w:b/>
          <w:noProof/>
          <w:sz w:val="20"/>
          <w:szCs w:val="20"/>
        </w:rPr>
        <w:t>(IsOneWay=</w:t>
      </w:r>
      <w:r w:rsidRPr="001056BE">
        <w:rPr>
          <w:rFonts w:ascii="Consolas" w:hAnsi="Consolas"/>
          <w:b/>
          <w:noProof/>
          <w:color w:val="0000FF"/>
          <w:sz w:val="20"/>
          <w:szCs w:val="20"/>
        </w:rPr>
        <w:t>true</w:t>
      </w:r>
      <w:r w:rsidRPr="001056BE">
        <w:rPr>
          <w:rFonts w:ascii="Consolas" w:hAnsi="Consolas"/>
          <w:b/>
          <w:noProof/>
          <w:sz w:val="20"/>
          <w:szCs w:val="20"/>
        </w:rPr>
        <w:t>)]</w:t>
      </w:r>
    </w:p>
    <w:p w:rsidR="001056BE" w:rsidRPr="001056BE" w:rsidRDefault="001056BE" w:rsidP="001056BE">
      <w:pPr>
        <w:ind w:left="720"/>
        <w:rPr>
          <w:b/>
        </w:rPr>
      </w:pPr>
      <w:r w:rsidRPr="001056BE">
        <w:rPr>
          <w:rFonts w:ascii="Consolas" w:hAnsi="Consolas"/>
          <w:b/>
          <w:noProof/>
          <w:color w:val="0000FF"/>
          <w:sz w:val="20"/>
          <w:szCs w:val="20"/>
        </w:rPr>
        <w:t>void</w:t>
      </w:r>
      <w:r w:rsidRPr="001056BE">
        <w:rPr>
          <w:rFonts w:ascii="Consolas" w:hAnsi="Consolas"/>
          <w:b/>
          <w:noProof/>
          <w:sz w:val="20"/>
          <w:szCs w:val="20"/>
        </w:rPr>
        <w:t xml:space="preserve"> Log(</w:t>
      </w:r>
      <w:r w:rsidR="004F7FA8">
        <w:rPr>
          <w:rFonts w:ascii="Consolas" w:hAnsi="Consolas"/>
          <w:b/>
          <w:noProof/>
          <w:color w:val="2B91AF"/>
          <w:sz w:val="20"/>
          <w:szCs w:val="20"/>
        </w:rPr>
        <w:t>LogData</w:t>
      </w:r>
      <w:r w:rsidRPr="001056BE">
        <w:rPr>
          <w:rFonts w:ascii="Consolas" w:hAnsi="Consolas"/>
          <w:b/>
          <w:noProof/>
          <w:sz w:val="20"/>
          <w:szCs w:val="20"/>
        </w:rPr>
        <w:t xml:space="preserve"> </w:t>
      </w:r>
      <w:r w:rsidR="004F7FA8">
        <w:rPr>
          <w:rFonts w:ascii="Consolas" w:hAnsi="Consolas"/>
          <w:b/>
          <w:noProof/>
          <w:sz w:val="20"/>
          <w:szCs w:val="20"/>
        </w:rPr>
        <w:t>entry</w:t>
      </w:r>
      <w:r w:rsidRPr="001056BE">
        <w:rPr>
          <w:rFonts w:ascii="Consolas" w:hAnsi="Consolas"/>
          <w:b/>
          <w:noProof/>
          <w:sz w:val="20"/>
          <w:szCs w:val="20"/>
        </w:rPr>
        <w:t>);</w:t>
      </w:r>
    </w:p>
    <w:p w:rsidR="001056BE" w:rsidRDefault="001056BE" w:rsidP="001056BE">
      <w:r>
        <w:t xml:space="preserve"> If a service only contains one way operations the RabbitMQ binding can be used in an optimized </w:t>
      </w:r>
      <w:r w:rsidRPr="001056BE">
        <w:rPr>
          <w:i/>
        </w:rPr>
        <w:t>OneWayOnly</w:t>
      </w:r>
      <w:r>
        <w:t xml:space="preserve"> mode. In this mode, no reply queue is created for responses to be sent back to the client and the client does not listen for responses from the service. To enable OneWayOnly mode set the binding property</w:t>
      </w:r>
      <w:r w:rsidR="004F7FA8">
        <w:t xml:space="preserve"> or use the oneWay configuration attribute.</w:t>
      </w:r>
    </w:p>
    <w:p w:rsidR="004F7FA8" w:rsidRPr="004F7FA8" w:rsidRDefault="004F7FA8" w:rsidP="004F7FA8">
      <w:pPr>
        <w:autoSpaceDE w:val="0"/>
        <w:autoSpaceDN w:val="0"/>
        <w:adjustRightInd w:val="0"/>
        <w:spacing w:after="0" w:line="240" w:lineRule="auto"/>
        <w:ind w:left="72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Pr="004F7FA8" w:rsidRDefault="004F7FA8" w:rsidP="004F7FA8">
      <w:pPr>
        <w:autoSpaceDE w:val="0"/>
        <w:autoSpaceDN w:val="0"/>
        <w:adjustRightInd w:val="0"/>
        <w:spacing w:after="0" w:line="240" w:lineRule="auto"/>
        <w:ind w:left="144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binding</w:t>
      </w:r>
      <w:r w:rsidRPr="004F7FA8">
        <w:rPr>
          <w:rFonts w:ascii="Consolas" w:hAnsi="Consolas"/>
          <w:b/>
          <w:noProof/>
          <w:color w:val="0000FF"/>
          <w:sz w:val="20"/>
          <w:szCs w:val="20"/>
        </w:rPr>
        <w:t xml:space="preserve"> </w:t>
      </w:r>
      <w:r w:rsidRPr="004F7FA8">
        <w:rPr>
          <w:rFonts w:ascii="Consolas" w:hAnsi="Consolas"/>
          <w:b/>
          <w:noProof/>
          <w:color w:val="FF0000"/>
          <w:sz w:val="20"/>
          <w:szCs w:val="20"/>
        </w:rPr>
        <w:t>name</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rabbitMQConfig</w:t>
      </w:r>
      <w:r w:rsidRPr="004F7FA8">
        <w:rPr>
          <w:rFonts w:ascii="Consolas" w:hAnsi="Consolas"/>
          <w:b/>
          <w:noProof/>
          <w:sz w:val="20"/>
          <w:szCs w:val="20"/>
        </w:rPr>
        <w:t>"</w:t>
      </w:r>
      <w:r w:rsidRPr="004F7FA8">
        <w:rPr>
          <w:rFonts w:ascii="Consolas" w:hAnsi="Consolas"/>
          <w:b/>
          <w:noProof/>
          <w:color w:val="0000FF"/>
          <w:sz w:val="20"/>
          <w:szCs w:val="20"/>
        </w:rPr>
        <w:t xml:space="preserve"> </w:t>
      </w:r>
    </w:p>
    <w:p w:rsidR="004F7FA8" w:rsidRPr="004F7FA8" w:rsidRDefault="004F7FA8" w:rsidP="004F7FA8">
      <w:pPr>
        <w:autoSpaceDE w:val="0"/>
        <w:autoSpaceDN w:val="0"/>
        <w:adjustRightInd w:val="0"/>
        <w:spacing w:after="0" w:line="240" w:lineRule="auto"/>
        <w:ind w:left="2160"/>
        <w:jc w:val="left"/>
        <w:rPr>
          <w:rFonts w:ascii="Consolas" w:hAnsi="Consolas"/>
          <w:b/>
          <w:noProof/>
          <w:sz w:val="20"/>
          <w:szCs w:val="20"/>
        </w:rPr>
      </w:pPr>
      <w:r w:rsidRPr="004F7FA8">
        <w:rPr>
          <w:rFonts w:ascii="Consolas" w:hAnsi="Consolas"/>
          <w:b/>
          <w:noProof/>
          <w:color w:val="FF0000"/>
          <w:sz w:val="20"/>
          <w:szCs w:val="20"/>
        </w:rPr>
        <w:t>broker</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amq</w:t>
      </w:r>
      <w:r>
        <w:rPr>
          <w:rFonts w:ascii="Consolas" w:hAnsi="Consolas"/>
          <w:b/>
          <w:noProof/>
          <w:color w:val="0000FF"/>
          <w:sz w:val="20"/>
          <w:szCs w:val="20"/>
        </w:rPr>
        <w:t>p</w:t>
      </w:r>
      <w:r w:rsidRPr="004F7FA8">
        <w:rPr>
          <w:rFonts w:ascii="Consolas" w:hAnsi="Consolas"/>
          <w:b/>
          <w:noProof/>
          <w:color w:val="0000FF"/>
          <w:sz w:val="20"/>
          <w:szCs w:val="20"/>
        </w:rPr>
        <w:t>://dev.rabbitmq.com:5672/</w:t>
      </w:r>
      <w:r w:rsidRPr="004F7FA8">
        <w:rPr>
          <w:rFonts w:ascii="Consolas" w:hAnsi="Consolas"/>
          <w:b/>
          <w:noProof/>
          <w:sz w:val="20"/>
          <w:szCs w:val="20"/>
        </w:rPr>
        <w:t>"</w:t>
      </w:r>
    </w:p>
    <w:p w:rsidR="004F7FA8" w:rsidRPr="004F7FA8" w:rsidRDefault="004F7FA8" w:rsidP="004F7FA8">
      <w:pPr>
        <w:autoSpaceDE w:val="0"/>
        <w:autoSpaceDN w:val="0"/>
        <w:adjustRightInd w:val="0"/>
        <w:spacing w:after="0" w:line="240" w:lineRule="auto"/>
        <w:ind w:left="2160"/>
        <w:jc w:val="left"/>
        <w:rPr>
          <w:rFonts w:ascii="Consolas" w:hAnsi="Consolas"/>
          <w:b/>
          <w:noProof/>
          <w:color w:val="0000FF"/>
          <w:sz w:val="20"/>
          <w:szCs w:val="20"/>
        </w:rPr>
      </w:pPr>
      <w:r w:rsidRPr="004F7FA8">
        <w:rPr>
          <w:rFonts w:ascii="Consolas" w:hAnsi="Consolas"/>
          <w:b/>
          <w:noProof/>
          <w:color w:val="FF0000"/>
          <w:sz w:val="20"/>
          <w:szCs w:val="20"/>
        </w:rPr>
        <w:t>oneWay</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true</w:t>
      </w:r>
      <w:r w:rsidRPr="004F7FA8">
        <w:rPr>
          <w:rFonts w:ascii="Consolas" w:hAnsi="Consolas"/>
          <w:b/>
          <w:noProof/>
          <w:sz w:val="20"/>
          <w:szCs w:val="20"/>
        </w:rPr>
        <w:t>"</w:t>
      </w:r>
      <w:r w:rsidRPr="004F7FA8">
        <w:rPr>
          <w:rFonts w:ascii="Consolas" w:hAnsi="Consolas"/>
          <w:b/>
          <w:noProof/>
          <w:color w:val="0000FF"/>
          <w:sz w:val="20"/>
          <w:szCs w:val="20"/>
        </w:rPr>
        <w:t xml:space="preserve"> /&gt;</w:t>
      </w:r>
    </w:p>
    <w:p w:rsidR="004F7FA8" w:rsidRPr="004F7FA8" w:rsidRDefault="004F7FA8" w:rsidP="004F7FA8">
      <w:pPr>
        <w:ind w:left="720"/>
        <w:rPr>
          <w:b/>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Default="004F7FA8" w:rsidP="004F7FA8">
      <w:r>
        <w:t>The OneWayTest sample application is a simple logging service. Clients submit log entries to a server which displays them on the console. It demonstrates one way RPC over AMQP, SOAP Encoding to transmit complex data types over the wire and Singleton Instance Context Mode.</w:t>
      </w:r>
    </w:p>
    <w:p w:rsidR="004F7FA8" w:rsidRDefault="004F7FA8" w:rsidP="004F7FA8">
      <w:pPr>
        <w:pStyle w:val="Heading2"/>
      </w:pPr>
      <w:bookmarkStart w:id="9" w:name="_Toc182825596"/>
      <w:r>
        <w:t>Two Way Services</w:t>
      </w:r>
      <w:bookmarkEnd w:id="9"/>
    </w:p>
    <w:p w:rsidR="004F7FA8" w:rsidRDefault="004F7FA8" w:rsidP="004F7FA8">
      <w:r>
        <w:t>Typically a service operates in a bi-directional, two way fashion where requests from the client are synchronously executed and a response returned to the caller. To support these services, the RabbitMQ binding uses the CompositeDuplexBindingElement</w:t>
      </w:r>
      <w:r w:rsidR="00D42011">
        <w:rPr>
          <w:rStyle w:val="FootnoteReference"/>
        </w:rPr>
        <w:footnoteReference w:id="4"/>
      </w:r>
      <w:r w:rsidR="00D42011">
        <w:t>, which constructs a uniquely named reply queue on the broker. Two Way services are not supported by the binding when it is in OneWayOnly mode.</w:t>
      </w:r>
    </w:p>
    <w:p w:rsidR="00D42011" w:rsidRPr="004F7FA8" w:rsidRDefault="00D42011" w:rsidP="004F7FA8">
      <w:r>
        <w:t>The TwoWayTest sample application is a calculator service, whose operations take a pair of integers and return a third.</w:t>
      </w:r>
    </w:p>
    <w:p w:rsidR="00E67DF8" w:rsidRDefault="00E04A6E" w:rsidP="00E04A6E">
      <w:pPr>
        <w:pStyle w:val="Heading2"/>
      </w:pPr>
      <w:bookmarkStart w:id="10" w:name="_Toc182825597"/>
      <w:r>
        <w:t>Sessionful Services</w:t>
      </w:r>
      <w:bookmarkEnd w:id="10"/>
    </w:p>
    <w:p w:rsidR="00E04A6E" w:rsidRDefault="00E04A6E" w:rsidP="00E04A6E">
      <w:r>
        <w:t>Each call to a service can be considered independent of all others with the service maintaining no state, often a more useful service maintains some state between calls. The RabbitMQ binding supports WS-ReliableSessions enable the object instances used to service requests to have a session-long lifetime and be associated with a single client session.</w:t>
      </w:r>
    </w:p>
    <w:p w:rsidR="007E6A26" w:rsidRDefault="007E6A26" w:rsidP="00E04A6E">
      <w:r>
        <w:t>The SessionTest sample application is a cart service, allowing items to be added to a cart and a total calculated.</w:t>
      </w:r>
    </w:p>
    <w:p w:rsidR="007E6A26" w:rsidRDefault="007E6A26" w:rsidP="007E6A26">
      <w:pPr>
        <w:pStyle w:val="Heading2"/>
      </w:pPr>
      <w:bookmarkStart w:id="11" w:name="_Toc182825598"/>
      <w:r>
        <w:lastRenderedPageBreak/>
        <w:t>Duplex Services</w:t>
      </w:r>
      <w:bookmarkEnd w:id="11"/>
    </w:p>
    <w:p w:rsidR="00E04A6E" w:rsidRDefault="007E6A26" w:rsidP="00E04A6E">
      <w:r>
        <w:t>A call to a two way service might start a long running process (for example, aggregating prices from a list of suppliers) and whilst the client requires a response,</w:t>
      </w:r>
      <w:r w:rsidR="00A22A2F">
        <w:t xml:space="preserve"> it is desirable that the client is not blocked for the duration of the call; instead, an asynchronous call is desired. Duplex services</w:t>
      </w:r>
      <w:r w:rsidR="00A22A2F">
        <w:rPr>
          <w:rStyle w:val="FootnoteReference"/>
        </w:rPr>
        <w:footnoteReference w:id="5"/>
      </w:r>
      <w:r w:rsidR="00A22A2F">
        <w:t xml:space="preserve"> allow the service to make calls to the client, and have a contract whose ServiceContractAttribute specifies a CallbackContract</w:t>
      </w:r>
      <w:r w:rsidR="00A22A2F">
        <w:rPr>
          <w:rStyle w:val="FootnoteReference"/>
        </w:rPr>
        <w:footnoteReference w:id="6"/>
      </w:r>
      <w:r w:rsidR="00A22A2F">
        <w:t xml:space="preserve"> type.</w:t>
      </w:r>
    </w:p>
    <w:p w:rsidR="00A22A2F" w:rsidRPr="00A22A2F" w:rsidRDefault="00A22A2F" w:rsidP="00A22A2F">
      <w:pPr>
        <w:autoSpaceDE w:val="0"/>
        <w:autoSpaceDN w:val="0"/>
        <w:adjustRightInd w:val="0"/>
        <w:spacing w:after="0" w:line="240" w:lineRule="auto"/>
        <w:ind w:left="720"/>
        <w:jc w:val="left"/>
        <w:rPr>
          <w:rFonts w:ascii="Consolas" w:hAnsi="Consolas"/>
          <w:b/>
          <w:noProof/>
          <w:sz w:val="20"/>
          <w:szCs w:val="20"/>
        </w:rPr>
      </w:pPr>
      <w:r w:rsidRPr="00A22A2F">
        <w:rPr>
          <w:rFonts w:ascii="Consolas" w:hAnsi="Consolas"/>
          <w:b/>
          <w:noProof/>
          <w:sz w:val="20"/>
          <w:szCs w:val="20"/>
        </w:rPr>
        <w:t>[</w:t>
      </w:r>
      <w:r w:rsidRPr="00A22A2F">
        <w:rPr>
          <w:rFonts w:ascii="Consolas" w:hAnsi="Consolas"/>
          <w:b/>
          <w:noProof/>
          <w:color w:val="2B91AF"/>
          <w:sz w:val="20"/>
          <w:szCs w:val="20"/>
        </w:rPr>
        <w:t>ServiceContract</w:t>
      </w:r>
      <w:r w:rsidRPr="00A22A2F">
        <w:rPr>
          <w:rFonts w:ascii="Consolas" w:hAnsi="Consolas"/>
          <w:b/>
          <w:noProof/>
          <w:sz w:val="20"/>
          <w:szCs w:val="20"/>
        </w:rPr>
        <w:t>(CallbackContract=</w:t>
      </w:r>
      <w:r w:rsidRPr="00A22A2F">
        <w:rPr>
          <w:rFonts w:ascii="Consolas" w:hAnsi="Consolas"/>
          <w:b/>
          <w:noProof/>
          <w:color w:val="0000FF"/>
          <w:sz w:val="20"/>
          <w:szCs w:val="20"/>
        </w:rPr>
        <w:t>typeof</w:t>
      </w:r>
      <w:r w:rsidRPr="00A22A2F">
        <w:rPr>
          <w:rFonts w:ascii="Consolas" w:hAnsi="Consolas"/>
          <w:b/>
          <w:noProof/>
          <w:sz w:val="20"/>
          <w:szCs w:val="20"/>
        </w:rPr>
        <w:t>(</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Callback</w:t>
      </w:r>
      <w:r w:rsidRPr="00A22A2F">
        <w:rPr>
          <w:rFonts w:ascii="Consolas" w:hAnsi="Consolas"/>
          <w:b/>
          <w:noProof/>
          <w:sz w:val="20"/>
          <w:szCs w:val="20"/>
        </w:rPr>
        <w:t>))]</w:t>
      </w:r>
    </w:p>
    <w:p w:rsidR="00A22A2F" w:rsidRPr="00A22A2F" w:rsidRDefault="00A22A2F" w:rsidP="00A22A2F">
      <w:pPr>
        <w:ind w:left="720"/>
        <w:rPr>
          <w:b/>
        </w:rPr>
      </w:pPr>
      <w:r w:rsidRPr="00A22A2F">
        <w:rPr>
          <w:rFonts w:ascii="Consolas" w:hAnsi="Consolas"/>
          <w:b/>
          <w:noProof/>
          <w:color w:val="0000FF"/>
          <w:sz w:val="20"/>
          <w:szCs w:val="20"/>
        </w:rPr>
        <w:t>public</w:t>
      </w:r>
      <w:r w:rsidRPr="00A22A2F">
        <w:rPr>
          <w:rFonts w:ascii="Consolas" w:hAnsi="Consolas"/>
          <w:b/>
          <w:noProof/>
          <w:sz w:val="20"/>
          <w:szCs w:val="20"/>
        </w:rPr>
        <w:t xml:space="preserve"> </w:t>
      </w:r>
      <w:r w:rsidRPr="00A22A2F">
        <w:rPr>
          <w:rFonts w:ascii="Consolas" w:hAnsi="Consolas"/>
          <w:b/>
          <w:noProof/>
          <w:color w:val="0000FF"/>
          <w:sz w:val="20"/>
          <w:szCs w:val="20"/>
        </w:rPr>
        <w:t>interface</w:t>
      </w:r>
      <w:r w:rsidRPr="00A22A2F">
        <w:rPr>
          <w:rFonts w:ascii="Consolas" w:hAnsi="Consolas"/>
          <w:b/>
          <w:noProof/>
          <w:sz w:val="20"/>
          <w:szCs w:val="20"/>
        </w:rPr>
        <w:t xml:space="preserve"> </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Service</w:t>
      </w:r>
    </w:p>
    <w:p w:rsidR="00A22A2F" w:rsidRDefault="00A22A2F" w:rsidP="00E04A6E">
      <w:r>
        <w:t>Duplex services are supported by the RabbitMQ binding because its channel stack includes the composite duplex binding element, they are not supported in OneWayOne mode. The DuplexTest sample application is an ordering service, which makes a callback to the client when an order is fulfilled.</w:t>
      </w:r>
    </w:p>
    <w:p w:rsidR="00E04A6E" w:rsidRDefault="00A22A2F" w:rsidP="00A22A2F">
      <w:pPr>
        <w:pStyle w:val="Heading1"/>
      </w:pPr>
      <w:bookmarkStart w:id="12" w:name="_Toc182825599"/>
      <w:r>
        <w:t>Using the RabbitMQ Binding</w:t>
      </w:r>
      <w:bookmarkEnd w:id="12"/>
    </w:p>
    <w:p w:rsidR="00B82355" w:rsidRDefault="00B82355" w:rsidP="00B82355">
      <w:pPr>
        <w:pStyle w:val="Heading2"/>
      </w:pPr>
      <w:bookmarkStart w:id="13" w:name="_Toc182825600"/>
      <w:r>
        <w:t>Services</w:t>
      </w:r>
      <w:bookmarkEnd w:id="13"/>
    </w:p>
    <w:p w:rsidR="00B82355" w:rsidRDefault="00B82355" w:rsidP="00B82355">
      <w:r>
        <w:t>The recommended hosting scenario for services over AMQP is self hosting using System.ServiceModel.ServiceHost</w:t>
      </w:r>
      <w:r>
        <w:rPr>
          <w:rStyle w:val="FootnoteReference"/>
        </w:rPr>
        <w:footnoteReference w:id="7"/>
      </w:r>
      <w:r>
        <w:t xml:space="preserve">. The ServiceHost </w:t>
      </w:r>
      <w:r w:rsidRPr="00B82355">
        <w:rPr>
          <w:b/>
        </w:rPr>
        <w:t>must</w:t>
      </w:r>
      <w:r>
        <w:t xml:space="preserve"> specify a base or absolute endpoint address under the soap.amqp scheme. An endpoint should then be added to the service using the RabbitMQBinding.</w:t>
      </w:r>
    </w:p>
    <w:p w:rsidR="00B82355" w:rsidRDefault="00B82355" w:rsidP="00B82355">
      <w:pPr>
        <w:ind w:firstLine="720"/>
        <w:contextualSpacing/>
        <w:rPr>
          <w:rFonts w:ascii="Consolas" w:hAnsi="Consolas"/>
          <w:b/>
          <w:noProof/>
          <w:sz w:val="20"/>
          <w:szCs w:val="20"/>
        </w:rPr>
      </w:pPr>
      <w:r w:rsidRPr="00B82355">
        <w:rPr>
          <w:rFonts w:ascii="Consolas" w:hAnsi="Consolas"/>
          <w:b/>
          <w:noProof/>
          <w:sz w:val="20"/>
          <w:szCs w:val="20"/>
        </w:rPr>
        <w:t>ser</w:t>
      </w:r>
      <w:r w:rsidRPr="00B82355">
        <w:rPr>
          <w:rStyle w:val="CodeBlockChar"/>
        </w:rPr>
        <w:t>vic</w:t>
      </w:r>
      <w:r w:rsidRPr="00B82355">
        <w:rPr>
          <w:rFonts w:ascii="Consolas" w:hAnsi="Consolas"/>
          <w:b/>
          <w:noProof/>
          <w:sz w:val="20"/>
          <w:szCs w:val="20"/>
        </w:rPr>
        <w:t xml:space="preserve">e = </w:t>
      </w: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ServiceHost</w:t>
      </w:r>
      <w:r w:rsidRPr="00B82355">
        <w:rPr>
          <w:rFonts w:ascii="Consolas" w:hAnsi="Consolas"/>
          <w:b/>
          <w:noProof/>
          <w:sz w:val="20"/>
          <w:szCs w:val="20"/>
        </w:rPr>
        <w:t>(</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typeof</w:t>
      </w:r>
      <w:r w:rsidRPr="00B82355">
        <w:rPr>
          <w:rFonts w:ascii="Consolas" w:hAnsi="Consolas"/>
          <w:b/>
          <w:noProof/>
          <w:sz w:val="20"/>
          <w:szCs w:val="20"/>
        </w:rPr>
        <w:t>(</w:t>
      </w:r>
      <w:r w:rsidRPr="00B82355">
        <w:rPr>
          <w:rFonts w:ascii="Consolas" w:hAnsi="Consolas"/>
          <w:b/>
          <w:noProof/>
          <w:color w:val="2B91AF"/>
          <w:sz w:val="20"/>
          <w:szCs w:val="20"/>
        </w:rPr>
        <w:t>Calculator</w:t>
      </w:r>
      <w:r w:rsidRPr="00B82355">
        <w:rPr>
          <w:rFonts w:ascii="Consolas" w:hAnsi="Consolas"/>
          <w:b/>
          <w:noProof/>
          <w:sz w:val="20"/>
          <w:szCs w:val="20"/>
        </w:rPr>
        <w:t xml:space="preserve">), </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Uri</w:t>
      </w:r>
      <w:r w:rsidRPr="00B82355">
        <w:rPr>
          <w:rFonts w:ascii="Consolas" w:hAnsi="Consolas"/>
          <w:b/>
          <w:noProof/>
          <w:sz w:val="20"/>
          <w:szCs w:val="20"/>
        </w:rPr>
        <w:t>(</w:t>
      </w:r>
      <w:r w:rsidRPr="00B82355">
        <w:rPr>
          <w:rFonts w:ascii="Consolas" w:hAnsi="Consolas"/>
          <w:b/>
          <w:noProof/>
          <w:color w:val="A31515"/>
          <w:sz w:val="20"/>
          <w:szCs w:val="20"/>
        </w:rPr>
        <w:t>"soap.amqp:///"</w:t>
      </w:r>
      <w:r w:rsidRPr="00B82355">
        <w:rPr>
          <w:rFonts w:ascii="Consolas" w:hAnsi="Consolas"/>
          <w:b/>
          <w:noProof/>
          <w:sz w:val="20"/>
          <w:szCs w:val="20"/>
        </w:rPr>
        <w:t>));</w:t>
      </w:r>
    </w:p>
    <w:p w:rsidR="00D1680F" w:rsidRPr="00D1680F" w:rsidRDefault="00D1680F" w:rsidP="00B82355">
      <w:pPr>
        <w:ind w:left="720" w:firstLine="720"/>
        <w:contextualSpacing/>
        <w:rPr>
          <w:rFonts w:ascii="Consolas" w:hAnsi="Consolas"/>
          <w:b/>
          <w:noProof/>
          <w:sz w:val="20"/>
          <w:szCs w:val="20"/>
        </w:rPr>
      </w:pPr>
    </w:p>
    <w:p w:rsidR="00D1680F" w:rsidRPr="00D1680F" w:rsidRDefault="00B82355" w:rsidP="00D1680F">
      <w:pPr>
        <w:ind w:left="720"/>
        <w:contextualSpacing/>
        <w:rPr>
          <w:rFonts w:ascii="Consolas" w:hAnsi="Consolas"/>
          <w:b/>
          <w:noProof/>
          <w:sz w:val="20"/>
          <w:szCs w:val="20"/>
        </w:rPr>
      </w:pPr>
      <w:r w:rsidRPr="00D1680F">
        <w:rPr>
          <w:rFonts w:ascii="Consolas" w:hAnsi="Consolas"/>
          <w:b/>
          <w:noProof/>
          <w:sz w:val="20"/>
          <w:szCs w:val="20"/>
        </w:rPr>
        <w:t>service.AddServiceEndpoint(</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typeof</w:t>
      </w:r>
      <w:r w:rsidRPr="00D1680F">
        <w:rPr>
          <w:rFonts w:ascii="Consolas" w:hAnsi="Consolas"/>
          <w:b/>
          <w:noProof/>
          <w:sz w:val="20"/>
          <w:szCs w:val="20"/>
        </w:rPr>
        <w:t>(</w:t>
      </w:r>
      <w:r w:rsidRPr="00D1680F">
        <w:rPr>
          <w:rFonts w:ascii="Consolas" w:hAnsi="Consolas"/>
          <w:b/>
          <w:noProof/>
          <w:color w:val="2B91AF"/>
          <w:sz w:val="20"/>
          <w:szCs w:val="20"/>
        </w:rPr>
        <w:t>ICalculator</w:t>
      </w:r>
      <w:r w:rsidRPr="00D1680F">
        <w:rPr>
          <w:rFonts w:ascii="Consolas" w:hAnsi="Consolas"/>
          <w:b/>
          <w:noProof/>
          <w:sz w:val="20"/>
          <w:szCs w:val="20"/>
        </w:rPr>
        <w:t xml:space="preserve">), </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RabbitMQBinding</w:t>
      </w:r>
      <w:r w:rsidRPr="00D1680F">
        <w:rPr>
          <w:rFonts w:ascii="Consolas" w:hAnsi="Consolas"/>
          <w:b/>
          <w:noProof/>
          <w:sz w:val="20"/>
          <w:szCs w:val="20"/>
        </w:rPr>
        <w:t>(</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Uri</w:t>
      </w:r>
      <w:r w:rsidRPr="00D1680F">
        <w:rPr>
          <w:rFonts w:ascii="Consolas" w:hAnsi="Consolas"/>
          <w:b/>
          <w:noProof/>
          <w:sz w:val="20"/>
          <w:szCs w:val="20"/>
        </w:rPr>
        <w:t>(</w:t>
      </w:r>
      <w:r w:rsidRPr="00D1680F">
        <w:rPr>
          <w:rFonts w:ascii="Consolas" w:hAnsi="Consolas"/>
          <w:b/>
          <w:noProof/>
          <w:color w:val="A31515"/>
          <w:sz w:val="20"/>
          <w:szCs w:val="20"/>
        </w:rPr>
        <w:t>"amqp://localhost:5672/"</w:t>
      </w:r>
      <w:r w:rsidRPr="00D1680F">
        <w:rPr>
          <w:rFonts w:ascii="Consolas" w:hAnsi="Consolas"/>
          <w:b/>
          <w:noProof/>
          <w:sz w:val="20"/>
          <w:szCs w:val="20"/>
        </w:rPr>
        <w:t xml:space="preserve">), </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2B91AF"/>
          <w:sz w:val="20"/>
          <w:szCs w:val="20"/>
        </w:rPr>
        <w:t>Protocols</w:t>
      </w:r>
      <w:r w:rsidRPr="00D1680F">
        <w:rPr>
          <w:rFonts w:ascii="Consolas" w:hAnsi="Consolas"/>
          <w:b/>
          <w:noProof/>
          <w:sz w:val="20"/>
          <w:szCs w:val="20"/>
        </w:rPr>
        <w:t xml:space="preserve">.AMQP_0_9), </w:t>
      </w:r>
    </w:p>
    <w:p w:rsidR="00B82355"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A31515"/>
          <w:sz w:val="20"/>
          <w:szCs w:val="20"/>
        </w:rPr>
        <w:t>"Calculator"</w:t>
      </w:r>
      <w:r w:rsidRPr="00D1680F">
        <w:rPr>
          <w:rFonts w:ascii="Consolas" w:hAnsi="Consolas"/>
          <w:b/>
          <w:noProof/>
          <w:sz w:val="20"/>
          <w:szCs w:val="20"/>
        </w:rPr>
        <w:t>);</w:t>
      </w:r>
    </w:p>
    <w:p w:rsidR="00A22A2F" w:rsidRDefault="00B82355" w:rsidP="00B82355">
      <w:pPr>
        <w:pStyle w:val="Heading2"/>
      </w:pPr>
      <w:bookmarkStart w:id="14" w:name="_Toc182825601"/>
      <w:r>
        <w:t>Clients</w:t>
      </w:r>
      <w:bookmarkEnd w:id="14"/>
      <w:r>
        <w:t xml:space="preserve"> </w:t>
      </w:r>
    </w:p>
    <w:p w:rsidR="00D1680F" w:rsidRPr="00D1680F" w:rsidRDefault="00D1680F" w:rsidP="00D1680F">
      <w:r>
        <w:t>The recommended pattern for connecting to a service is by deriving from either ClientBase&lt;T&gt; or DuplexClientBase&lt;T&gt;. For Duplex Clients, the InstanceContext must be specified.</w:t>
      </w:r>
    </w:p>
    <w:p w:rsidR="00D1680F" w:rsidRDefault="00D1680F" w:rsidP="00D1680F">
      <w:pPr>
        <w:pStyle w:val="Heading2"/>
      </w:pPr>
      <w:bookmarkStart w:id="15" w:name="_Toc182825602"/>
      <w:r>
        <w:t>Configuration Files</w:t>
      </w:r>
      <w:bookmarkEnd w:id="15"/>
    </w:p>
    <w:p w:rsidR="00D1680F" w:rsidRDefault="00D1680F" w:rsidP="00D1680F">
      <w:r>
        <w:t>Specifying details like the protocol version and broker address in source code tends to result in services which are very hard to manage and deploy</w:t>
      </w:r>
      <w:r w:rsidR="008F3AB0">
        <w:t xml:space="preserve">. To avoid this, WCF provides a configuration mechanism using application configuration files (App.Config). The configuration file must be applied to the host or client assembly (typically an executable) and </w:t>
      </w:r>
      <w:r w:rsidR="008F3AB0">
        <w:rPr>
          <w:b/>
        </w:rPr>
        <w:t>not</w:t>
      </w:r>
      <w:r w:rsidR="008F3AB0">
        <w:t xml:space="preserve"> to a library which contains the </w:t>
      </w:r>
      <w:r w:rsidR="008F3AB0">
        <w:lastRenderedPageBreak/>
        <w:t>service contract or behaviours. To declaratively configure a service, the RabbitMQBindingSection must be imported into the system.serviceModel section of the  configuration file:</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A31515"/>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add</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rabbitMQBinding</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type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RabbitMQ.ServiceModel.RabbitMQBindingSection, RabbitMQ.ServiceModel, Version=1.0.110.0, Culture=neutral, PublicKeyToken=null</w:t>
      </w:r>
      <w:r w:rsidRPr="008F3AB0">
        <w:rPr>
          <w:rFonts w:ascii="Consolas" w:hAnsi="Consolas"/>
          <w:b/>
          <w:noProof/>
          <w:sz w:val="20"/>
          <w:szCs w:val="20"/>
        </w:rPr>
        <w:t>"</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rPr>
          <w:b/>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Default="008F3AB0" w:rsidP="00D1680F">
      <w:r>
        <w:t>With the extension imported, the rabbitMQBinding can be declared</w:t>
      </w:r>
      <w:r>
        <w:rPr>
          <w:rStyle w:val="FootnoteReference"/>
        </w:rPr>
        <w:footnoteReference w:id="8"/>
      </w:r>
      <w:r>
        <w:t xml:space="preserve"> and configured:</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rabbitMQConfig</w:t>
      </w:r>
      <w:r w:rsidRPr="008F3AB0">
        <w:rPr>
          <w:rFonts w:ascii="Consolas" w:hAnsi="Consolas"/>
          <w:b/>
          <w:noProof/>
          <w:sz w:val="20"/>
          <w:szCs w:val="20"/>
        </w:rPr>
        <w:t>"</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broker</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w:t>
      </w:r>
      <w:r>
        <w:rPr>
          <w:rFonts w:ascii="Consolas" w:hAnsi="Consolas"/>
          <w:b/>
          <w:noProof/>
          <w:color w:val="0000FF"/>
          <w:sz w:val="20"/>
          <w:szCs w:val="20"/>
        </w:rPr>
        <w:t>p</w:t>
      </w:r>
      <w:r w:rsidRPr="008F3AB0">
        <w:rPr>
          <w:rFonts w:ascii="Consolas" w:hAnsi="Consolas"/>
          <w:b/>
          <w:noProof/>
          <w:color w:val="0000FF"/>
          <w:sz w:val="20"/>
          <w:szCs w:val="20"/>
        </w:rPr>
        <w:t>://</w:t>
      </w:r>
      <w:r>
        <w:rPr>
          <w:rFonts w:ascii="Consolas" w:hAnsi="Consolas"/>
          <w:b/>
          <w:noProof/>
          <w:color w:val="0000FF"/>
          <w:sz w:val="20"/>
          <w:szCs w:val="20"/>
        </w:rPr>
        <w:t>localhost</w:t>
      </w:r>
      <w:r w:rsidRPr="008F3AB0">
        <w:rPr>
          <w:rFonts w:ascii="Consolas" w:hAnsi="Consolas"/>
          <w:b/>
          <w:noProof/>
          <w:color w:val="0000FF"/>
          <w:sz w:val="20"/>
          <w:szCs w:val="20"/>
        </w:rPr>
        <w:t>:5672/</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version</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AMQP_0_</w:t>
      </w:r>
      <w:r>
        <w:rPr>
          <w:rFonts w:ascii="Consolas" w:hAnsi="Consolas"/>
          <w:b/>
          <w:noProof/>
          <w:color w:val="0000FF"/>
          <w:sz w:val="20"/>
          <w:szCs w:val="20"/>
        </w:rPr>
        <w:t>9</w:t>
      </w:r>
      <w:r w:rsidRPr="008F3AB0">
        <w:rPr>
          <w:rFonts w:ascii="Consolas" w:hAnsi="Consolas"/>
          <w:b/>
          <w:noProof/>
          <w:sz w:val="20"/>
          <w:szCs w:val="20"/>
        </w:rPr>
        <w:t>"</w:t>
      </w:r>
      <w:r w:rsidRPr="008F3AB0">
        <w:rPr>
          <w:rFonts w:ascii="Consolas" w:hAnsi="Consolas"/>
          <w:b/>
          <w:noProof/>
          <w:color w:val="0000FF"/>
          <w:sz w:val="20"/>
          <w:szCs w:val="20"/>
        </w:rPr>
        <w:t xml:space="preserve"> /&gt;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Default="008F3AB0" w:rsidP="008F3AB0">
      <w:pPr>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D1680F" w:rsidRDefault="00D1680F" w:rsidP="00B82355">
      <w:pPr>
        <w:pStyle w:val="Heading3"/>
      </w:pPr>
      <w:bookmarkStart w:id="16" w:name="_Toc182825603"/>
      <w:r>
        <w:t>Serv</w:t>
      </w:r>
      <w:r w:rsidR="008F3AB0">
        <w:t>ice</w:t>
      </w:r>
      <w:r>
        <w:t xml:space="preserve"> Configuration</w:t>
      </w:r>
      <w:bookmarkEnd w:id="16"/>
    </w:p>
    <w:p w:rsidR="008F3AB0" w:rsidRDefault="008F3AB0" w:rsidP="008F3AB0">
      <w:r>
        <w:t>A service is configured by declaring the</w:t>
      </w:r>
      <w:r w:rsidR="00AA417C">
        <w:t xml:space="preserve"> contract, endpoint and binding. Multiple services and bindings can be specified in a single configuration file.</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add</w:t>
      </w:r>
      <w:r w:rsidRPr="00AA417C">
        <w:rPr>
          <w:rFonts w:ascii="Consolas" w:hAnsi="Consolas"/>
          <w:b/>
          <w:noProof/>
          <w:color w:val="0000FF"/>
          <w:sz w:val="20"/>
          <w:szCs w:val="20"/>
        </w:rPr>
        <w:t xml:space="preserve"> </w:t>
      </w:r>
      <w:r w:rsidRPr="00AA417C">
        <w:rPr>
          <w:rFonts w:ascii="Consolas" w:hAnsi="Consolas"/>
          <w:b/>
          <w:noProof/>
          <w:color w:val="FF0000"/>
          <w:sz w:val="20"/>
          <w:szCs w:val="20"/>
        </w:rPr>
        <w:t>baseAddress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sidRPr="00AA417C">
        <w:rPr>
          <w:rFonts w:ascii="Consolas" w:hAnsi="Consolas"/>
          <w:b/>
          <w:noProof/>
          <w:sz w:val="20"/>
          <w:szCs w:val="20"/>
        </w:rPr>
        <w:t>"</w:t>
      </w:r>
      <w:r>
        <w:rPr>
          <w:rFonts w:ascii="Consolas" w:hAnsi="Consolas"/>
          <w:b/>
          <w:noProof/>
          <w:color w:val="0000FF"/>
          <w:sz w:val="20"/>
          <w:szCs w:val="20"/>
        </w:rPr>
        <w:t xml:space="preserve"> </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A31515"/>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ICalculator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&gt;</w:t>
      </w:r>
    </w:p>
    <w:p w:rsidR="008F3AB0" w:rsidRDefault="00AA417C" w:rsidP="00AA417C">
      <w:pPr>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Default="00AA417C" w:rsidP="00AA417C">
      <w:r>
        <w:t>To run the service, simply create a new ServiceHost instance passing in the service behaviour (as specified in config).</w:t>
      </w:r>
    </w:p>
    <w:p w:rsid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 xml:space="preserve">host = </w:t>
      </w:r>
      <w:r>
        <w:rPr>
          <w:rFonts w:ascii="Consolas" w:hAnsi="Consolas"/>
          <w:noProof/>
          <w:color w:val="0000FF"/>
          <w:sz w:val="20"/>
          <w:szCs w:val="20"/>
        </w:rPr>
        <w:t>new</w:t>
      </w:r>
      <w:r>
        <w:rPr>
          <w:rFonts w:ascii="Consolas" w:hAnsi="Consolas"/>
          <w:noProof/>
          <w:sz w:val="20"/>
          <w:szCs w:val="20"/>
        </w:rPr>
        <w:t xml:space="preserve"> </w:t>
      </w:r>
      <w:r>
        <w:rPr>
          <w:rFonts w:ascii="Consolas" w:hAnsi="Consolas"/>
          <w:noProof/>
          <w:color w:val="2B91AF"/>
          <w:sz w:val="20"/>
          <w:szCs w:val="20"/>
        </w:rPr>
        <w:t>ServiceHost</w:t>
      </w:r>
      <w:r>
        <w:rPr>
          <w:rFonts w:ascii="Consolas" w:hAnsi="Consolas"/>
          <w:noProof/>
          <w:sz w:val="20"/>
          <w:szCs w:val="20"/>
        </w:rPr>
        <w:t>(</w:t>
      </w:r>
      <w:r>
        <w:rPr>
          <w:rFonts w:ascii="Consolas" w:hAnsi="Consolas"/>
          <w:noProof/>
          <w:color w:val="0000FF"/>
          <w:sz w:val="20"/>
          <w:szCs w:val="20"/>
        </w:rPr>
        <w:t>typeof</w:t>
      </w:r>
      <w:r>
        <w:rPr>
          <w:rFonts w:ascii="Consolas" w:hAnsi="Consolas"/>
          <w:noProof/>
          <w:sz w:val="20"/>
          <w:szCs w:val="20"/>
        </w:rPr>
        <w:t>(</w:t>
      </w:r>
      <w:r>
        <w:rPr>
          <w:rFonts w:ascii="Consolas" w:hAnsi="Consolas"/>
          <w:noProof/>
          <w:color w:val="2B91AF"/>
          <w:sz w:val="20"/>
          <w:szCs w:val="20"/>
        </w:rPr>
        <w:t>Calculator</w:t>
      </w:r>
      <w:r>
        <w:rPr>
          <w:rFonts w:ascii="Consolas" w:hAnsi="Consolas"/>
          <w:noProof/>
          <w:sz w:val="20"/>
          <w:szCs w:val="20"/>
        </w:rPr>
        <w:t>));</w:t>
      </w:r>
    </w:p>
    <w:p w:rsidR="00AA417C" w:rsidRP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host.Open();</w:t>
      </w:r>
    </w:p>
    <w:p w:rsidR="00B82355" w:rsidRDefault="00D1680F" w:rsidP="00B82355">
      <w:pPr>
        <w:pStyle w:val="Heading3"/>
      </w:pPr>
      <w:bookmarkStart w:id="17" w:name="_Toc182825604"/>
      <w:r>
        <w:t>Client Configuration</w:t>
      </w:r>
      <w:bookmarkEnd w:id="17"/>
    </w:p>
    <w:p w:rsidR="00AA417C" w:rsidRDefault="00AA417C" w:rsidP="00AA417C">
      <w:r>
        <w:t>To build a client whose settings are derived from configuration, expose a constructor for your ClientBase&lt;T&gt; derived class calling the ClientBase(string).</w:t>
      </w:r>
    </w:p>
    <w:p w:rsidR="00AA417C" w:rsidRPr="00B11B16" w:rsidRDefault="00AA417C" w:rsidP="00AA417C">
      <w:pPr>
        <w:autoSpaceDE w:val="0"/>
        <w:autoSpaceDN w:val="0"/>
        <w:adjustRightInd w:val="0"/>
        <w:spacing w:after="0" w:line="240" w:lineRule="auto"/>
        <w:jc w:val="left"/>
        <w:rPr>
          <w:rFonts w:ascii="Consolas" w:hAnsi="Consolas"/>
          <w:b/>
          <w:noProof/>
          <w:color w:val="2B91AF"/>
          <w:sz w:val="20"/>
          <w:szCs w:val="20"/>
        </w:rPr>
      </w:pPr>
      <w:r>
        <w:rPr>
          <w:rFonts w:ascii="Consolas" w:hAnsi="Consolas"/>
          <w:noProof/>
          <w:sz w:val="20"/>
          <w:szCs w:val="20"/>
        </w:rPr>
        <w:lastRenderedPageBreak/>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w:t>
      </w:r>
      <w:r w:rsidRPr="00B11B16">
        <w:rPr>
          <w:rFonts w:ascii="Consolas" w:hAnsi="Consolas"/>
          <w:b/>
          <w:noProof/>
          <w:color w:val="0000FF"/>
          <w:sz w:val="20"/>
          <w:szCs w:val="20"/>
        </w:rPr>
        <w:t>class</w:t>
      </w:r>
      <w:r w:rsidRPr="00B11B16">
        <w:rPr>
          <w:rFonts w:ascii="Consolas" w:hAnsi="Consolas"/>
          <w:b/>
          <w:noProof/>
          <w:sz w:val="20"/>
          <w:szCs w:val="20"/>
        </w:rPr>
        <w:t xml:space="preserve"> </w:t>
      </w:r>
      <w:r w:rsidRPr="00B11B16">
        <w:rPr>
          <w:rFonts w:ascii="Consolas" w:hAnsi="Consolas"/>
          <w:b/>
          <w:noProof/>
          <w:color w:val="2B91AF"/>
          <w:sz w:val="20"/>
          <w:szCs w:val="20"/>
        </w:rPr>
        <w:t>CalculatorClient</w:t>
      </w:r>
      <w:r w:rsidRPr="00B11B16">
        <w:rPr>
          <w:rFonts w:ascii="Consolas" w:hAnsi="Consolas"/>
          <w:b/>
          <w:noProof/>
          <w:sz w:val="20"/>
          <w:szCs w:val="20"/>
        </w:rPr>
        <w:t xml:space="preserve"> : </w:t>
      </w:r>
      <w:r w:rsidRPr="00B11B16">
        <w:rPr>
          <w:rFonts w:ascii="Consolas" w:hAnsi="Consolas"/>
          <w:b/>
          <w:noProof/>
          <w:color w:val="2B91AF"/>
          <w:sz w:val="20"/>
          <w:szCs w:val="20"/>
        </w:rPr>
        <w:t>ClientBase</w:t>
      </w:r>
      <w:r w:rsidRPr="00B11B16">
        <w:rPr>
          <w:rFonts w:ascii="Consolas" w:hAnsi="Consolas"/>
          <w:b/>
          <w:noProof/>
          <w:sz w:val="20"/>
          <w:szCs w:val="20"/>
        </w:rPr>
        <w:t>&lt;</w:t>
      </w:r>
      <w:r w:rsidRPr="00B11B16">
        <w:rPr>
          <w:rFonts w:ascii="Consolas" w:hAnsi="Consolas"/>
          <w:b/>
          <w:noProof/>
          <w:color w:val="2B91AF"/>
          <w:sz w:val="20"/>
          <w:szCs w:val="20"/>
        </w:rPr>
        <w:t>ICalculator</w:t>
      </w:r>
      <w:r w:rsidRPr="00B11B16">
        <w:rPr>
          <w:rFonts w:ascii="Consolas" w:hAnsi="Consolas"/>
          <w:b/>
          <w:noProof/>
          <w:sz w:val="20"/>
          <w:szCs w:val="20"/>
        </w:rPr>
        <w:t xml:space="preserve">&gt;, </w:t>
      </w:r>
      <w:r w:rsidRPr="00B11B16">
        <w:rPr>
          <w:rFonts w:ascii="Consolas" w:hAnsi="Consolas"/>
          <w:b/>
          <w:noProof/>
          <w:color w:val="2B91AF"/>
          <w:sz w:val="20"/>
          <w:szCs w:val="20"/>
        </w:rPr>
        <w:t>ICalculator</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CalculatorClient(</w:t>
      </w:r>
      <w:r w:rsidRPr="00B11B16">
        <w:rPr>
          <w:rFonts w:ascii="Consolas" w:hAnsi="Consolas"/>
          <w:b/>
          <w:noProof/>
          <w:color w:val="0000FF"/>
          <w:sz w:val="20"/>
          <w:szCs w:val="20"/>
        </w:rPr>
        <w:t>string</w:t>
      </w:r>
      <w:r w:rsidRPr="00B11B16">
        <w:rPr>
          <w:rFonts w:ascii="Consolas" w:hAnsi="Consolas"/>
          <w:b/>
          <w:noProof/>
          <w:sz w:val="20"/>
          <w:szCs w:val="20"/>
        </w:rPr>
        <w:t xml:space="preserve"> configurationName)</w:t>
      </w:r>
    </w:p>
    <w:p w:rsidR="00AA417C" w:rsidRPr="00B11B16" w:rsidRDefault="00AA417C" w:rsidP="00AA417C">
      <w:pPr>
        <w:rPr>
          <w:rFonts w:ascii="Consolas" w:hAnsi="Consolas"/>
          <w:b/>
          <w:noProof/>
          <w:sz w:val="20"/>
          <w:szCs w:val="20"/>
        </w:rPr>
      </w:pPr>
      <w:r w:rsidRPr="00B11B16">
        <w:rPr>
          <w:rFonts w:ascii="Consolas" w:hAnsi="Consolas"/>
          <w:b/>
          <w:noProof/>
          <w:sz w:val="20"/>
          <w:szCs w:val="20"/>
        </w:rPr>
        <w:t xml:space="preserve">            : </w:t>
      </w:r>
      <w:r w:rsidRPr="00B11B16">
        <w:rPr>
          <w:rFonts w:ascii="Consolas" w:hAnsi="Consolas"/>
          <w:b/>
          <w:noProof/>
          <w:color w:val="0000FF"/>
          <w:sz w:val="20"/>
          <w:szCs w:val="20"/>
        </w:rPr>
        <w:t>base</w:t>
      </w:r>
      <w:r w:rsidRPr="00B11B16">
        <w:rPr>
          <w:rFonts w:ascii="Consolas" w:hAnsi="Consolas"/>
          <w:b/>
          <w:noProof/>
          <w:sz w:val="20"/>
          <w:szCs w:val="20"/>
        </w:rPr>
        <w:t>(configurationName) { }</w:t>
      </w:r>
    </w:p>
    <w:p w:rsidR="00AA417C" w:rsidRDefault="00AA417C" w:rsidP="00AA417C">
      <w:pPr>
        <w:rPr>
          <w:noProof/>
        </w:rPr>
      </w:pPr>
      <w:r>
        <w:rPr>
          <w:noProof/>
        </w:rPr>
        <w:t>Construct the class passing the client endpoint name as specified in configuration.</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 xml:space="preserve"> I</w:t>
      </w:r>
      <w:r>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Pr>
          <w:rFonts w:ascii="Consolas" w:hAnsi="Consolas"/>
          <w:b/>
          <w:noProof/>
          <w:color w:val="0000FF"/>
          <w:sz w:val="20"/>
          <w:szCs w:val="20"/>
        </w:rPr>
        <w:t>AMQPCalculatorService</w:t>
      </w:r>
      <w:r w:rsidRPr="00AA417C">
        <w:rPr>
          <w:rFonts w:ascii="Consolas" w:hAnsi="Consolas"/>
          <w:b/>
          <w:noProof/>
          <w:sz w:val="20"/>
          <w:szCs w:val="20"/>
        </w:rPr>
        <w:t>"</w:t>
      </w:r>
      <w:r w:rsidRPr="00AA417C">
        <w:rPr>
          <w:rFonts w:ascii="Consolas" w:hAnsi="Consolas"/>
          <w:b/>
          <w:noProof/>
          <w:color w:val="0000FF"/>
          <w:sz w:val="20"/>
          <w:szCs w:val="20"/>
        </w:rPr>
        <w:t xml:space="preserve"> /&gt;</w:t>
      </w:r>
    </w:p>
    <w:p w:rsidR="00AA417C" w:rsidRPr="00AA417C" w:rsidRDefault="00AA417C" w:rsidP="00AA417C">
      <w:pPr>
        <w:rPr>
          <w:b/>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Default="001C591E" w:rsidP="00AA417C">
      <w:r>
        <w:t xml:space="preserve">The RabbitMQ WCF libraries also have full support for the WCF Configuration Editor Tool (available from the .Net framework 3.0 SDK and Visual Studio 2008). </w:t>
      </w:r>
    </w:p>
    <w:p w:rsidR="001C591E" w:rsidRDefault="00262D87" w:rsidP="001C591E">
      <w:pPr>
        <w:jc w:val="center"/>
      </w:pPr>
      <w:r>
        <w:rPr>
          <w:noProof/>
          <w:lang w:eastAsia="en-GB"/>
        </w:rPr>
        <w:drawing>
          <wp:inline distT="0" distB="0" distL="0" distR="0">
            <wp:extent cx="5736463" cy="3819729"/>
            <wp:effectExtent l="57150" t="19050" r="73787" b="104571"/>
            <wp:docPr id="4" name="Picture 1" descr="C:\Users\Will\AppData\Local\Microsoft\Windows\Temporary Internet Files\Content.Word\rabbit-confi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Will\AppData\Local\Microsoft\Windows\Temporary Internet Files\Content.Word\rabbit-config.png"/>
                    <pic:cNvPicPr>
                      <a:picLocks noChangeAspect="1" noChangeArrowheads="1"/>
                    </pic:cNvPicPr>
                  </pic:nvPicPr>
                  <pic:blipFill>
                    <a:blip r:embed="rId8"/>
                    <a:srcRect/>
                    <a:stretch>
                      <a:fillRect/>
                    </a:stretch>
                  </pic:blipFill>
                  <pic:spPr bwMode="auto">
                    <a:xfrm>
                      <a:off x="0" y="0"/>
                      <a:ext cx="5736463" cy="3819729"/>
                    </a:xfrm>
                    <a:prstGeom prst="rect">
                      <a:avLst/>
                    </a:prstGeom>
                    <a:noFill/>
                    <a:ln w="3175">
                      <a:solidFill>
                        <a:schemeClr val="tx1"/>
                      </a:solidFill>
                      <a:miter lim="800000"/>
                      <a:headEnd/>
                      <a:tailEnd/>
                    </a:ln>
                    <a:effectLst>
                      <a:outerShdw blurRad="50800" dist="38100" dir="5400000" algn="t" rotWithShape="0">
                        <a:prstClr val="black">
                          <a:alpha val="40000"/>
                        </a:prstClr>
                      </a:outerShdw>
                    </a:effectLst>
                  </pic:spPr>
                </pic:pic>
              </a:graphicData>
            </a:graphic>
          </wp:inline>
        </w:drawing>
      </w:r>
    </w:p>
    <w:p w:rsidR="001C591E" w:rsidRDefault="001C591E" w:rsidP="001C591E">
      <w:pPr>
        <w:jc w:val="center"/>
        <w:rPr>
          <w:b/>
        </w:rPr>
      </w:pPr>
      <w:r>
        <w:rPr>
          <w:b/>
          <w:i/>
        </w:rPr>
        <w:t>Using the WCF Configuration Utility for Editing a RabbitMQ Service Configuration File</w:t>
      </w:r>
    </w:p>
    <w:p w:rsidR="00A41CF7" w:rsidRDefault="00A41CF7" w:rsidP="00936655">
      <w:r>
        <w:br w:type="page"/>
      </w:r>
      <w:r w:rsidR="00262D87">
        <w:rPr>
          <w:noProof/>
          <w:lang w:eastAsia="en-GB"/>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2628900" cy="3857625"/>
            <wp:effectExtent l="19050" t="0" r="0" b="0"/>
            <wp:wrapTight wrapText="bothSides">
              <wp:wrapPolygon edited="0">
                <wp:start x="-157" y="0"/>
                <wp:lineTo x="-157" y="21547"/>
                <wp:lineTo x="21600" y="21547"/>
                <wp:lineTo x="21600" y="0"/>
                <wp:lineTo x="-157" y="0"/>
              </wp:wrapPolygon>
            </wp:wrapTight>
            <wp:docPr id="2" name="Picture 2" descr="rabbit-new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bbit-newbinding"/>
                    <pic:cNvPicPr>
                      <a:picLocks noChangeAspect="1" noChangeArrowheads="1"/>
                    </pic:cNvPicPr>
                  </pic:nvPicPr>
                  <pic:blipFill>
                    <a:blip r:embed="rId9"/>
                    <a:srcRect/>
                    <a:stretch>
                      <a:fillRect/>
                    </a:stretch>
                  </pic:blipFill>
                  <pic:spPr bwMode="auto">
                    <a:xfrm>
                      <a:off x="0" y="0"/>
                      <a:ext cx="2628900" cy="3857625"/>
                    </a:xfrm>
                    <a:prstGeom prst="rect">
                      <a:avLst/>
                    </a:prstGeom>
                    <a:noFill/>
                    <a:ln w="9525">
                      <a:noFill/>
                      <a:miter lim="800000"/>
                      <a:headEnd/>
                      <a:tailEnd/>
                    </a:ln>
                  </pic:spPr>
                </pic:pic>
              </a:graphicData>
            </a:graphic>
          </wp:anchor>
        </w:drawing>
      </w:r>
      <w:r w:rsidR="00936655" w:rsidRPr="00936655">
        <w:t xml:space="preserve">To </w:t>
      </w:r>
      <w:r w:rsidR="00936655">
        <w:t xml:space="preserve">add </w:t>
      </w:r>
      <w:r>
        <w:t>a</w:t>
      </w:r>
      <w:r w:rsidR="00936655">
        <w:t xml:space="preserve"> RabbitMQ binding to an existing</w:t>
      </w:r>
      <w:r>
        <w:t xml:space="preserve"> (or new)</w:t>
      </w:r>
      <w:r w:rsidR="00936655">
        <w:t xml:space="preserve"> configuration file, open the service configuration editor</w:t>
      </w:r>
      <w:r w:rsidR="00936655">
        <w:rPr>
          <w:rStyle w:val="FootnoteReference"/>
        </w:rPr>
        <w:footnoteReference w:id="9"/>
      </w:r>
      <w:r w:rsidR="00936655">
        <w:t xml:space="preserve"> and expand</w:t>
      </w:r>
      <w:r>
        <w:t xml:space="preserve"> the Advanced &gt; </w:t>
      </w:r>
      <w:r w:rsidR="00936655">
        <w:t>Extensions</w:t>
      </w:r>
      <w:r>
        <w:t xml:space="preserve"> &gt; </w:t>
      </w:r>
      <w:r w:rsidR="00936655">
        <w:t xml:space="preserve">binding extensions node. Click the ‘new’ button and select the </w:t>
      </w:r>
      <w:r w:rsidR="00936655" w:rsidRPr="00936655">
        <w:t>RabbitMQBindingSection</w:t>
      </w:r>
      <w:r w:rsidR="00936655">
        <w:t xml:space="preserve"> type from the RabbitMQ.ServiceModel.dll assembly</w:t>
      </w:r>
      <w:r>
        <w:t>. The rabbitMQ binding for WCF is now available within the configuration tool. You can now create a binding for any services configured within the file over AMQP by right clicking the Bindings node and choosing ‘New Binding’. In the following list (right) select rabbitMQbinding and click OK.</w:t>
      </w:r>
    </w:p>
    <w:p w:rsidR="00A41CF7" w:rsidRDefault="00A41CF7" w:rsidP="00936655">
      <w:r>
        <w:t>Integration with the configuration system and toolset means that updating existing applications to benefit from the scalability and robustness of RabbitMQ is very straightforward.</w:t>
      </w:r>
    </w:p>
    <w:p w:rsidR="00A41CF7" w:rsidRDefault="00A41CF7" w:rsidP="00936655"/>
    <w:p w:rsidR="00A41CF7" w:rsidRDefault="00A41CF7" w:rsidP="00936655"/>
    <w:p w:rsidR="00AA417C" w:rsidRDefault="00B11B16" w:rsidP="00AA417C">
      <w:pPr>
        <w:pStyle w:val="Heading1"/>
      </w:pPr>
      <w:bookmarkStart w:id="18" w:name="_Toc182825605"/>
      <w:r>
        <w:t xml:space="preserve">Known </w:t>
      </w:r>
      <w:r w:rsidR="00AA417C">
        <w:t>Limitations</w:t>
      </w:r>
      <w:bookmarkEnd w:id="18"/>
    </w:p>
    <w:p w:rsidR="00AA417C" w:rsidRDefault="00AA417C" w:rsidP="00AA417C">
      <w:pPr>
        <w:pStyle w:val="ListParagraph"/>
        <w:numPr>
          <w:ilvl w:val="0"/>
          <w:numId w:val="1"/>
        </w:numPr>
      </w:pPr>
      <w:r>
        <w:t>A TwoWay or Duplex service cannot have SessionMode = SessionMode.NotAllowed since a Reliable Session is required to maintain the reply channel.</w:t>
      </w:r>
    </w:p>
    <w:p w:rsidR="00AA417C" w:rsidRPr="00A22A2F" w:rsidRDefault="00AA417C" w:rsidP="00AA417C">
      <w:pPr>
        <w:pStyle w:val="ListParagraph"/>
        <w:numPr>
          <w:ilvl w:val="0"/>
          <w:numId w:val="1"/>
        </w:numPr>
      </w:pPr>
      <w:r>
        <w:t>Only SOAP Formatting is available, other formatters can be specified by building a CustomBinding on top of the RabbitMQTransportBindingElement</w:t>
      </w:r>
    </w:p>
    <w:p w:rsidR="00AA417C" w:rsidRDefault="00AA417C" w:rsidP="00A22A2F">
      <w:pPr>
        <w:pStyle w:val="Heading1"/>
        <w:sectPr w:rsidR="00AA417C" w:rsidSect="0040658A">
          <w:pgSz w:w="11906" w:h="16838"/>
          <w:pgMar w:top="1440" w:right="1440" w:bottom="1440" w:left="1440" w:header="708" w:footer="708" w:gutter="0"/>
          <w:cols w:space="708"/>
          <w:docGrid w:linePitch="360"/>
        </w:sectPr>
      </w:pPr>
    </w:p>
    <w:p w:rsidR="00A22A2F" w:rsidRDefault="00A22A2F" w:rsidP="00A22A2F">
      <w:pPr>
        <w:pStyle w:val="Heading1"/>
      </w:pPr>
      <w:bookmarkStart w:id="19" w:name="_Toc182825606"/>
      <w:r>
        <w:lastRenderedPageBreak/>
        <w:t>Reference</w:t>
      </w:r>
      <w:bookmarkEnd w:id="19"/>
    </w:p>
    <w:p w:rsidR="00A22A2F" w:rsidRDefault="00A22A2F" w:rsidP="00A22A2F">
      <w:pPr>
        <w:pStyle w:val="Heading2"/>
      </w:pPr>
      <w:bookmarkStart w:id="20" w:name="_Toc182825607"/>
      <w:r>
        <w:t>RabbitMQBinding</w:t>
      </w:r>
      <w:bookmarkEnd w:id="20"/>
    </w:p>
    <w:p w:rsidR="007C0695" w:rsidRDefault="007C0695" w:rsidP="007C0695">
      <w:r>
        <w:t>A windows communication foundation binding over AMQP. By default, the RabbitMQBinding generated the following binding element stack:</w:t>
      </w:r>
    </w:p>
    <w:p w:rsidR="007C0695" w:rsidRDefault="007C0695" w:rsidP="007C0695">
      <w:pPr>
        <w:pStyle w:val="ListParagraph"/>
        <w:numPr>
          <w:ilvl w:val="0"/>
          <w:numId w:val="2"/>
        </w:numPr>
      </w:pPr>
      <w:r>
        <w:t>TransactionFlowBindingElement</w:t>
      </w:r>
    </w:p>
    <w:p w:rsidR="007C0695" w:rsidRDefault="007C0695" w:rsidP="007C0695">
      <w:pPr>
        <w:pStyle w:val="ListParagraph"/>
        <w:numPr>
          <w:ilvl w:val="0"/>
          <w:numId w:val="2"/>
        </w:numPr>
      </w:pPr>
      <w:r>
        <w:t>ReliableSessionBindingElement</w:t>
      </w:r>
    </w:p>
    <w:p w:rsidR="007C0695" w:rsidRDefault="007C0695" w:rsidP="007C0695">
      <w:pPr>
        <w:pStyle w:val="ListParagraph"/>
        <w:numPr>
          <w:ilvl w:val="0"/>
          <w:numId w:val="2"/>
        </w:numPr>
      </w:pPr>
      <w:r>
        <w:t>CompositeDuplexBindingElement</w:t>
      </w:r>
    </w:p>
    <w:p w:rsidR="007C0695" w:rsidRDefault="007C0695" w:rsidP="007C0695">
      <w:pPr>
        <w:pStyle w:val="ListParagraph"/>
        <w:numPr>
          <w:ilvl w:val="0"/>
          <w:numId w:val="2"/>
        </w:numPr>
      </w:pPr>
      <w:r>
        <w:t>TextMessageEncodingBindingElement</w:t>
      </w:r>
    </w:p>
    <w:p w:rsidR="007C0695" w:rsidRDefault="007C0695" w:rsidP="007C0695">
      <w:pPr>
        <w:pStyle w:val="ListParagraph"/>
        <w:numPr>
          <w:ilvl w:val="0"/>
          <w:numId w:val="2"/>
        </w:numPr>
      </w:pPr>
      <w:r>
        <w:t>RabbitMQTransportBindingElement</w:t>
      </w:r>
    </w:p>
    <w:p w:rsidR="007C0695" w:rsidRPr="008C0294" w:rsidRDefault="007C0695" w:rsidP="008C0294">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7C0695" w:rsidRPr="00853AD6" w:rsidTr="00853AD6">
        <w:tc>
          <w:tcPr>
            <w:tcW w:w="4077" w:type="dxa"/>
            <w:tcBorders>
              <w:bottom w:val="single" w:sz="8" w:space="0" w:color="4F81BD" w:themeColor="accent1"/>
            </w:tcBorders>
            <w:shd w:val="clear" w:color="auto" w:fill="4F81BD" w:themeFill="accent1"/>
          </w:tcPr>
          <w:p w:rsidR="007C0695" w:rsidRPr="00853AD6" w:rsidRDefault="007C0695"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7C0695" w:rsidRPr="00853AD6" w:rsidRDefault="007C0695"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7C0695"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7C0695" w:rsidRPr="00853AD6" w:rsidRDefault="007C0695"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w:t>
            </w:r>
            <w:r w:rsidR="008C0294" w:rsidRPr="00853AD6">
              <w:rPr>
                <w:rFonts w:asciiTheme="minorHAnsi" w:eastAsiaTheme="minorHAnsi" w:hAnsiTheme="minorHAnsi" w:cstheme="minorBidi"/>
                <w:bCs/>
              </w:rPr>
              <w:t>(</w:t>
            </w:r>
            <w:r w:rsidRPr="00853AD6">
              <w:rPr>
                <w:rFonts w:asciiTheme="minorHAnsi" w:eastAsiaTheme="minorHAnsi" w:hAnsiTheme="minorHAnsi" w:cstheme="minorBidi"/>
                <w:bCs/>
              </w:rPr>
              <w:t xml:space="preserve">)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7C0695" w:rsidRPr="00853AD6" w:rsidRDefault="007C0695"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 class initialized to use the Protocols.DefaultProtocol</w:t>
            </w:r>
            <w:r w:rsidR="008C0294" w:rsidRPr="00853AD6">
              <w:rPr>
                <w:rFonts w:asciiTheme="minorHAnsi" w:eastAsiaTheme="minorHAnsi" w:hAnsiTheme="minorHAnsi" w:cstheme="minorBidi"/>
              </w:rPr>
              <w:t>. The broker must be set before use</w:t>
            </w:r>
          </w:p>
        </w:tc>
      </w:tr>
      <w:tr w:rsidR="007C0695"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7C0695"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7C0695"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specified by the given Uri</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specified protocol. The broker must be set before use.</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whose address is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bl>
    <w:p w:rsidR="008C0294" w:rsidRDefault="008C0294" w:rsidP="008C0294">
      <w:pPr>
        <w:spacing w:after="0"/>
        <w:rPr>
          <w:rStyle w:val="Strong"/>
        </w:rPr>
      </w:pPr>
    </w:p>
    <w:p w:rsidR="008C0294" w:rsidRPr="008C0294" w:rsidRDefault="00B11B16" w:rsidP="008C0294">
      <w:pPr>
        <w:spacing w:after="0"/>
        <w:rPr>
          <w:rStyle w:val="Strong"/>
        </w:rPr>
      </w:pPr>
      <w:r>
        <w:rPr>
          <w:rStyle w:val="Strong"/>
        </w:rPr>
        <w:t xml:space="preserve">Declared </w:t>
      </w:r>
      <w:r w:rsidR="008C0294"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8C0294" w:rsidRPr="00853AD6" w:rsidTr="00853AD6">
        <w:trPr>
          <w:cantSplit/>
        </w:trPr>
        <w:tc>
          <w:tcPr>
            <w:tcW w:w="4077" w:type="dxa"/>
            <w:tcBorders>
              <w:bottom w:val="single" w:sz="8" w:space="0" w:color="4F81BD" w:themeColor="accent1"/>
            </w:tcBorders>
            <w:shd w:val="clear" w:color="auto" w:fill="4F81BD" w:themeFill="accent1"/>
          </w:tcPr>
          <w:p w:rsidR="008C0294" w:rsidRPr="00853AD6" w:rsidRDefault="008C0294"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8C0294" w:rsidRPr="00853AD6" w:rsidRDefault="008C0294"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ConnectionParameters : ConnectionParameters</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parameters used to connect to the broker</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ReliableSession : System.ServiceModel.ReliableSession</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reliable session parameters for this binding instance</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Determines whether or not the TransactionFlowBindingElement w</w:t>
            </w:r>
            <w:r w:rsidR="006868CC" w:rsidRPr="00853AD6">
              <w:rPr>
                <w:rFonts w:asciiTheme="minorHAnsi" w:eastAsiaTheme="minorHAnsi" w:hAnsiTheme="minorHAnsi" w:cstheme="minorBidi"/>
              </w:rPr>
              <w:t>ill be added to the channel sta</w:t>
            </w:r>
            <w:r w:rsidRPr="00853AD6">
              <w:rPr>
                <w:rFonts w:asciiTheme="minorHAnsi" w:eastAsiaTheme="minorHAnsi" w:hAnsiTheme="minorHAnsi" w:cstheme="minorBidi"/>
              </w:rPr>
              <w:t>ck</w:t>
            </w:r>
          </w:p>
        </w:tc>
      </w:tr>
    </w:tbl>
    <w:p w:rsidR="00A22A2F" w:rsidRDefault="00A22A2F" w:rsidP="00A22A2F"/>
    <w:p w:rsidR="00B11B16" w:rsidRDefault="00B11B16">
      <w:pPr>
        <w:jc w:val="left"/>
        <w:rPr>
          <w:rFonts w:asciiTheme="majorHAnsi" w:eastAsiaTheme="majorEastAsia" w:hAnsiTheme="majorHAnsi" w:cstheme="majorBidi"/>
          <w:b/>
          <w:bCs/>
          <w:color w:val="4F81BD" w:themeColor="accent1"/>
          <w:sz w:val="26"/>
          <w:szCs w:val="26"/>
        </w:rPr>
      </w:pPr>
      <w:r>
        <w:br w:type="page"/>
      </w:r>
    </w:p>
    <w:p w:rsidR="00A22A2F" w:rsidRDefault="00A22A2F" w:rsidP="00A22A2F">
      <w:pPr>
        <w:pStyle w:val="Heading2"/>
      </w:pPr>
      <w:bookmarkStart w:id="21" w:name="_Toc182825608"/>
      <w:r>
        <w:lastRenderedPageBreak/>
        <w:t>RabbitMQTransportBinding</w:t>
      </w:r>
      <w:r w:rsidR="00B11B16">
        <w:t>Element</w:t>
      </w:r>
      <w:bookmarkEnd w:id="21"/>
    </w:p>
    <w:p w:rsidR="00B11B16" w:rsidRPr="00B11B16" w:rsidRDefault="00B11B16" w:rsidP="00B11B16">
      <w:r>
        <w:t>Represents the binding element used to specify AMQP transport for transmitting messages.</w:t>
      </w:r>
    </w:p>
    <w:p w:rsidR="00B11B16" w:rsidRPr="008C0294" w:rsidRDefault="00B11B16" w:rsidP="00B11B16">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RabbitMQTransportBindingElement()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RabbitMQTransportBindingElement Class using the default protocol.</w:t>
            </w:r>
          </w:p>
        </w:tc>
      </w:tr>
    </w:tbl>
    <w:p w:rsidR="00B11B16" w:rsidRDefault="00B11B16" w:rsidP="00B11B16">
      <w:pPr>
        <w:spacing w:after="0"/>
        <w:rPr>
          <w:rStyle w:val="Strong"/>
        </w:rPr>
      </w:pPr>
    </w:p>
    <w:p w:rsidR="00B11B16" w:rsidRPr="008C0294" w:rsidRDefault="00B11B16" w:rsidP="00B11B16">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rPr>
          <w:cantSplit/>
        </w:trPr>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B11B16"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bl>
    <w:p w:rsidR="003D293C" w:rsidRDefault="003D293C" w:rsidP="00A22A2F">
      <w:pPr>
        <w:pStyle w:val="Heading2"/>
      </w:pPr>
    </w:p>
    <w:p w:rsidR="00A22A2F" w:rsidRDefault="00A22A2F" w:rsidP="00A22A2F">
      <w:pPr>
        <w:pStyle w:val="Heading2"/>
      </w:pPr>
      <w:bookmarkStart w:id="22" w:name="_Toc182825609"/>
      <w:r>
        <w:t>RabbitMQ</w:t>
      </w:r>
      <w:r w:rsidR="00B82355">
        <w:t>BindingConfigurationElement</w:t>
      </w:r>
      <w:bookmarkEnd w:id="22"/>
    </w:p>
    <w:p w:rsidR="00B11B16" w:rsidRDefault="00B11B16" w:rsidP="00B11B16">
      <w:r>
        <w:t>Represents the configuration for a RabbitMQBinding. The configuration element should be imported into the client and server configuration files to provide declarative configuration of a AMQP bound service.</w:t>
      </w:r>
    </w:p>
    <w:p w:rsidR="003D293C" w:rsidRPr="008C0294" w:rsidRDefault="003D293C" w:rsidP="003D293C">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409"/>
        <w:gridCol w:w="4833"/>
      </w:tblGrid>
      <w:tr w:rsidR="003D293C" w:rsidRPr="00853AD6" w:rsidTr="00853AD6">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RabbitMQBindingConfigurationElement()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w:t>
            </w:r>
          </w:p>
        </w:tc>
      </w:tr>
      <w:tr w:rsidR="003D293C" w:rsidRPr="00853AD6" w:rsidTr="00853AD6">
        <w:tc>
          <w:tcPr>
            <w:tcW w:w="4077" w:type="dxa"/>
            <w:tcBorders>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RabbitMQBindingConfigurationElement(</w:t>
            </w:r>
            <w:r w:rsidR="006868CC" w:rsidRPr="00853AD6">
              <w:rPr>
                <w:rFonts w:asciiTheme="minorHAnsi" w:eastAsiaTheme="minorHAnsi" w:hAnsiTheme="minorHAnsi" w:cstheme="minorBidi"/>
                <w:bCs/>
              </w:rPr>
              <w:t>string</w:t>
            </w:r>
            <w:r w:rsidRPr="00853AD6">
              <w:rPr>
                <w:rFonts w:asciiTheme="minorHAnsi" w:eastAsiaTheme="minorHAnsi" w:hAnsiTheme="minorHAnsi" w:cstheme="minorBidi"/>
                <w:bCs/>
              </w:rPr>
              <w:t xml:space="preserve">) </w:t>
            </w:r>
          </w:p>
        </w:tc>
        <w:tc>
          <w:tcPr>
            <w:tcW w:w="5165" w:type="dxa"/>
            <w:tcBorders>
              <w:left w:val="single" w:sz="4" w:space="0" w:color="548DD4" w:themeColor="text2" w:themeTint="99"/>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 initialized with values from the specified configuration.</w:t>
            </w:r>
          </w:p>
        </w:tc>
      </w:tr>
    </w:tbl>
    <w:p w:rsidR="003D293C" w:rsidRDefault="003D293C" w:rsidP="003D293C">
      <w:pPr>
        <w:spacing w:after="0"/>
        <w:rPr>
          <w:rStyle w:val="Strong"/>
        </w:rPr>
      </w:pPr>
    </w:p>
    <w:p w:rsidR="003D293C" w:rsidRPr="008C0294" w:rsidRDefault="003D293C" w:rsidP="003D293C">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3D293C" w:rsidRPr="00853AD6" w:rsidTr="00853AD6">
        <w:trPr>
          <w:cantSplit/>
        </w:trPr>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 : 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Password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Password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 :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protocol version specified by the current configuration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ProtocolVersion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protocol version to use when communicating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TransactionFlowEnabled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WS-AtomicTransactions are supported by the binding</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Username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username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lastRenderedPageBreak/>
              <w:t>VirtualHost :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virtual host to access.</w:t>
            </w:r>
          </w:p>
        </w:tc>
      </w:tr>
    </w:tbl>
    <w:p w:rsidR="00E04A6E" w:rsidRPr="00E04A6E" w:rsidRDefault="00E04A6E" w:rsidP="003D293C"/>
    <w:sectPr w:rsidR="00E04A6E" w:rsidRPr="00E04A6E" w:rsidSect="004065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272" w:rsidRDefault="004B5272" w:rsidP="00CD54B4">
      <w:r>
        <w:separator/>
      </w:r>
    </w:p>
  </w:endnote>
  <w:endnote w:type="continuationSeparator" w:id="1">
    <w:p w:rsidR="004B5272" w:rsidRDefault="004B5272" w:rsidP="00CD5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272" w:rsidRDefault="004B5272" w:rsidP="00CD54B4">
      <w:r>
        <w:separator/>
      </w:r>
    </w:p>
  </w:footnote>
  <w:footnote w:type="continuationSeparator" w:id="1">
    <w:p w:rsidR="004B5272" w:rsidRDefault="004B5272" w:rsidP="00CD54B4">
      <w:r>
        <w:continuationSeparator/>
      </w:r>
    </w:p>
  </w:footnote>
  <w:footnote w:id="2">
    <w:p w:rsidR="007C0695" w:rsidRDefault="007C0695" w:rsidP="00CD54B4">
      <w:pPr>
        <w:pStyle w:val="FootnoteText"/>
      </w:pPr>
      <w:r>
        <w:rPr>
          <w:rStyle w:val="FootnoteReference"/>
        </w:rPr>
        <w:footnoteRef/>
      </w:r>
      <w:r>
        <w:t xml:space="preserve"> </w:t>
      </w:r>
      <w:r w:rsidRPr="007C3056">
        <w:t>http://msdn2.microsoft.com/library/system.servicemodel.channels.custombinding</w:t>
      </w:r>
    </w:p>
  </w:footnote>
  <w:footnote w:id="3">
    <w:p w:rsidR="007C0695" w:rsidRDefault="007C0695">
      <w:pPr>
        <w:pStyle w:val="FootnoteText"/>
      </w:pPr>
      <w:r>
        <w:rPr>
          <w:rStyle w:val="FootnoteReference"/>
        </w:rPr>
        <w:footnoteRef/>
      </w:r>
      <w:r>
        <w:t xml:space="preserve"> </w:t>
      </w:r>
      <w:r w:rsidRPr="00244BCF">
        <w:t>http://msdn2.microsoft.com/library/System.ServiceModel.ServiceContractAttribute</w:t>
      </w:r>
    </w:p>
  </w:footnote>
  <w:footnote w:id="4">
    <w:p w:rsidR="007C0695" w:rsidRDefault="007C0695">
      <w:pPr>
        <w:pStyle w:val="FootnoteText"/>
      </w:pPr>
      <w:r>
        <w:rPr>
          <w:rStyle w:val="FootnoteReference"/>
        </w:rPr>
        <w:footnoteRef/>
      </w:r>
      <w:r>
        <w:t xml:space="preserve"> </w:t>
      </w:r>
      <w:r w:rsidRPr="00D42011">
        <w:t>http://msdn2.microsoft.com/library/system.servicemodel.channels.compositeduplexbindingelement</w:t>
      </w:r>
    </w:p>
  </w:footnote>
  <w:footnote w:id="5">
    <w:p w:rsidR="007C0695" w:rsidRDefault="007C0695">
      <w:pPr>
        <w:pStyle w:val="FootnoteText"/>
      </w:pPr>
      <w:r>
        <w:rPr>
          <w:rStyle w:val="FootnoteReference"/>
        </w:rPr>
        <w:footnoteRef/>
      </w:r>
      <w:r>
        <w:t xml:space="preserve"> </w:t>
      </w:r>
      <w:r w:rsidRPr="00A22A2F">
        <w:t>http://msdn2.microsoft.com/library/ms731064.aspx</w:t>
      </w:r>
    </w:p>
  </w:footnote>
  <w:footnote w:id="6">
    <w:p w:rsidR="007C0695" w:rsidRDefault="007C0695">
      <w:pPr>
        <w:pStyle w:val="FootnoteText"/>
      </w:pPr>
      <w:r>
        <w:rPr>
          <w:rStyle w:val="FootnoteReference"/>
        </w:rPr>
        <w:footnoteRef/>
      </w:r>
      <w:r>
        <w:t xml:space="preserve"> http://msdn2.microsoft.com/</w:t>
      </w:r>
      <w:r w:rsidRPr="00A22A2F">
        <w:t>library/system.servicemodel.servicecontractattribute.callbackcontract</w:t>
      </w:r>
    </w:p>
  </w:footnote>
  <w:footnote w:id="7">
    <w:p w:rsidR="007C0695" w:rsidRDefault="007C0695">
      <w:pPr>
        <w:pStyle w:val="FootnoteText"/>
      </w:pPr>
      <w:r>
        <w:rPr>
          <w:rStyle w:val="FootnoteReference"/>
        </w:rPr>
        <w:footnoteRef/>
      </w:r>
      <w:r>
        <w:t xml:space="preserve"> </w:t>
      </w:r>
      <w:r w:rsidRPr="00B82355">
        <w:t>http://msdn2.microsoft.com/library/System.ServiceModel.ServiceHost</w:t>
      </w:r>
    </w:p>
  </w:footnote>
  <w:footnote w:id="8">
    <w:p w:rsidR="007C0695" w:rsidRDefault="007C0695">
      <w:pPr>
        <w:pStyle w:val="FootnoteText"/>
      </w:pPr>
      <w:r>
        <w:rPr>
          <w:rStyle w:val="FootnoteReference"/>
        </w:rPr>
        <w:footnoteRef/>
      </w:r>
      <w:r>
        <w:t xml:space="preserve"> Note that in Visual Studio, IntelliSense® will incorrectly report that the rabbitMQBinding is an invalid child of the bindings Node.</w:t>
      </w:r>
    </w:p>
  </w:footnote>
  <w:footnote w:id="9">
    <w:p w:rsidR="00936655" w:rsidRDefault="00936655">
      <w:pPr>
        <w:pStyle w:val="FootnoteText"/>
      </w:pPr>
      <w:r>
        <w:rPr>
          <w:rStyle w:val="FootnoteReference"/>
        </w:rPr>
        <w:footnoteRef/>
      </w:r>
      <w:r>
        <w:t xml:space="preserve"> This is installed as part of the Windows SDK to %ProgramFiles%</w:t>
      </w:r>
      <w:r w:rsidRPr="00936655">
        <w:t>\Microsoft SDKs\Windows\v6.0A\bin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C3EB0"/>
    <w:multiLevelType w:val="hybridMultilevel"/>
    <w:tmpl w:val="49E4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03725D"/>
    <w:multiLevelType w:val="hybridMultilevel"/>
    <w:tmpl w:val="7A5A6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00F3"/>
    <w:rsid w:val="001056BE"/>
    <w:rsid w:val="001C591E"/>
    <w:rsid w:val="00232474"/>
    <w:rsid w:val="00244BCF"/>
    <w:rsid w:val="00262D87"/>
    <w:rsid w:val="003D293C"/>
    <w:rsid w:val="0040658A"/>
    <w:rsid w:val="00452FF8"/>
    <w:rsid w:val="004B5272"/>
    <w:rsid w:val="004F7FA8"/>
    <w:rsid w:val="00602922"/>
    <w:rsid w:val="006868CC"/>
    <w:rsid w:val="00701837"/>
    <w:rsid w:val="00756A58"/>
    <w:rsid w:val="007C0695"/>
    <w:rsid w:val="007C3056"/>
    <w:rsid w:val="007E6A26"/>
    <w:rsid w:val="00853AD6"/>
    <w:rsid w:val="008C0294"/>
    <w:rsid w:val="008F3AB0"/>
    <w:rsid w:val="00936655"/>
    <w:rsid w:val="00A22A2F"/>
    <w:rsid w:val="00A41CF7"/>
    <w:rsid w:val="00A600F3"/>
    <w:rsid w:val="00A769CC"/>
    <w:rsid w:val="00AA417C"/>
    <w:rsid w:val="00B11B16"/>
    <w:rsid w:val="00B26B3A"/>
    <w:rsid w:val="00B516A5"/>
    <w:rsid w:val="00B5239D"/>
    <w:rsid w:val="00B64135"/>
    <w:rsid w:val="00B82355"/>
    <w:rsid w:val="00CB731F"/>
    <w:rsid w:val="00CD54B4"/>
    <w:rsid w:val="00D1680F"/>
    <w:rsid w:val="00D40CA8"/>
    <w:rsid w:val="00D42011"/>
    <w:rsid w:val="00E04A6E"/>
    <w:rsid w:val="00E67DF8"/>
    <w:rsid w:val="00ED5307"/>
    <w:rsid w:val="00F41526"/>
    <w:rsid w:val="00FE45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B4"/>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CD54B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056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F7FA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2922"/>
    <w:pPr>
      <w:spacing w:after="0" w:line="240" w:lineRule="auto"/>
    </w:pPr>
    <w:rPr>
      <w:sz w:val="20"/>
      <w:szCs w:val="20"/>
    </w:rPr>
  </w:style>
  <w:style w:type="character" w:customStyle="1" w:styleId="FootnoteTextChar">
    <w:name w:val="Footnote Text Char"/>
    <w:basedOn w:val="DefaultParagraphFont"/>
    <w:link w:val="FootnoteText"/>
    <w:uiPriority w:val="99"/>
    <w:rsid w:val="00602922"/>
    <w:rPr>
      <w:sz w:val="20"/>
      <w:szCs w:val="20"/>
    </w:rPr>
  </w:style>
  <w:style w:type="character" w:styleId="FootnoteReference">
    <w:name w:val="footnote reference"/>
    <w:basedOn w:val="DefaultParagraphFont"/>
    <w:uiPriority w:val="99"/>
    <w:semiHidden/>
    <w:unhideWhenUsed/>
    <w:rsid w:val="00602922"/>
    <w:rPr>
      <w:vertAlign w:val="superscript"/>
    </w:rPr>
  </w:style>
  <w:style w:type="character" w:customStyle="1" w:styleId="Heading1Char">
    <w:name w:val="Heading 1 Char"/>
    <w:basedOn w:val="DefaultParagraphFont"/>
    <w:link w:val="Heading1"/>
    <w:uiPriority w:val="9"/>
    <w:rsid w:val="00CD54B4"/>
    <w:rPr>
      <w:rFonts w:ascii="Cambria" w:eastAsia="Times New Roman" w:hAnsi="Cambria" w:cs="Times New Roman"/>
      <w:b/>
      <w:bCs/>
      <w:color w:val="365F91"/>
      <w:sz w:val="28"/>
      <w:szCs w:val="28"/>
    </w:rPr>
  </w:style>
  <w:style w:type="paragraph" w:customStyle="1" w:styleId="CodeBlock">
    <w:name w:val="Code Block"/>
    <w:basedOn w:val="Normal"/>
    <w:link w:val="CodeBlockChar"/>
    <w:qFormat/>
    <w:rsid w:val="00B82355"/>
    <w:pPr>
      <w:ind w:firstLine="720"/>
      <w:contextualSpacing/>
    </w:pPr>
    <w:rPr>
      <w:rFonts w:ascii="Consolas" w:hAnsi="Consolas"/>
      <w:b/>
      <w:noProof/>
      <w:sz w:val="20"/>
      <w:szCs w:val="20"/>
    </w:rPr>
  </w:style>
  <w:style w:type="paragraph" w:styleId="NoSpacing">
    <w:name w:val="No Spacing"/>
    <w:uiPriority w:val="1"/>
    <w:qFormat/>
    <w:rsid w:val="00CD54B4"/>
    <w:pPr>
      <w:jc w:val="both"/>
    </w:pPr>
    <w:rPr>
      <w:sz w:val="22"/>
      <w:szCs w:val="22"/>
      <w:lang w:eastAsia="en-US"/>
    </w:rPr>
  </w:style>
  <w:style w:type="character" w:customStyle="1" w:styleId="CodeBlockChar">
    <w:name w:val="Code Block Char"/>
    <w:basedOn w:val="DefaultParagraphFont"/>
    <w:link w:val="CodeBlock"/>
    <w:rsid w:val="00B82355"/>
    <w:rPr>
      <w:rFonts w:ascii="Consolas" w:hAnsi="Consolas" w:cs="Times New Roman"/>
      <w:b/>
      <w:noProof/>
      <w:sz w:val="20"/>
      <w:szCs w:val="20"/>
    </w:rPr>
  </w:style>
  <w:style w:type="character" w:styleId="Hyperlink">
    <w:name w:val="Hyperlink"/>
    <w:basedOn w:val="DefaultParagraphFont"/>
    <w:uiPriority w:val="99"/>
    <w:unhideWhenUsed/>
    <w:rsid w:val="00E67DF8"/>
    <w:rPr>
      <w:color w:val="0000FF"/>
      <w:u w:val="single"/>
    </w:rPr>
  </w:style>
  <w:style w:type="paragraph" w:styleId="Title">
    <w:name w:val="Title"/>
    <w:basedOn w:val="Normal"/>
    <w:next w:val="Normal"/>
    <w:link w:val="TitleChar"/>
    <w:uiPriority w:val="10"/>
    <w:qFormat/>
    <w:rsid w:val="00E67D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67DF8"/>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E67DF8"/>
    <w:pPr>
      <w:jc w:val="left"/>
      <w:outlineLvl w:val="9"/>
    </w:pPr>
    <w:rPr>
      <w:lang w:val="en-US"/>
    </w:rPr>
  </w:style>
  <w:style w:type="paragraph" w:styleId="TOC1">
    <w:name w:val="toc 1"/>
    <w:basedOn w:val="Normal"/>
    <w:next w:val="Normal"/>
    <w:autoRedefine/>
    <w:uiPriority w:val="39"/>
    <w:unhideWhenUsed/>
    <w:rsid w:val="00E67DF8"/>
    <w:pPr>
      <w:spacing w:after="100"/>
    </w:pPr>
  </w:style>
  <w:style w:type="paragraph" w:styleId="BalloonText">
    <w:name w:val="Balloon Text"/>
    <w:basedOn w:val="Normal"/>
    <w:link w:val="BalloonTextChar"/>
    <w:uiPriority w:val="99"/>
    <w:semiHidden/>
    <w:unhideWhenUsed/>
    <w:rsid w:val="00E6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F8"/>
    <w:rPr>
      <w:rFonts w:ascii="Tahoma" w:hAnsi="Tahoma" w:cs="Tahoma"/>
      <w:sz w:val="16"/>
      <w:szCs w:val="16"/>
    </w:rPr>
  </w:style>
  <w:style w:type="character" w:customStyle="1" w:styleId="Heading2Char">
    <w:name w:val="Heading 2 Char"/>
    <w:basedOn w:val="DefaultParagraphFont"/>
    <w:link w:val="Heading2"/>
    <w:uiPriority w:val="9"/>
    <w:rsid w:val="001056B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4F7FA8"/>
    <w:rPr>
      <w:rFonts w:ascii="Cambria" w:eastAsia="Times New Roman" w:hAnsi="Cambria" w:cs="Times New Roman"/>
      <w:b/>
      <w:bCs/>
      <w:color w:val="4F81BD"/>
    </w:rPr>
  </w:style>
  <w:style w:type="paragraph" w:styleId="TOC2">
    <w:name w:val="toc 2"/>
    <w:basedOn w:val="Normal"/>
    <w:next w:val="Normal"/>
    <w:autoRedefine/>
    <w:uiPriority w:val="39"/>
    <w:unhideWhenUsed/>
    <w:rsid w:val="00D42011"/>
    <w:pPr>
      <w:spacing w:after="100"/>
      <w:ind w:left="220"/>
    </w:pPr>
  </w:style>
  <w:style w:type="paragraph" w:styleId="ListParagraph">
    <w:name w:val="List Paragraph"/>
    <w:basedOn w:val="Normal"/>
    <w:uiPriority w:val="34"/>
    <w:qFormat/>
    <w:rsid w:val="00A22A2F"/>
    <w:pPr>
      <w:ind w:left="720"/>
      <w:contextualSpacing/>
    </w:pPr>
  </w:style>
  <w:style w:type="paragraph" w:styleId="TOC3">
    <w:name w:val="toc 3"/>
    <w:basedOn w:val="Normal"/>
    <w:next w:val="Normal"/>
    <w:autoRedefine/>
    <w:uiPriority w:val="39"/>
    <w:unhideWhenUsed/>
    <w:rsid w:val="00AA417C"/>
    <w:pPr>
      <w:spacing w:after="100"/>
      <w:ind w:left="440"/>
    </w:pPr>
  </w:style>
  <w:style w:type="paragraph" w:styleId="Subtitle">
    <w:name w:val="Subtitle"/>
    <w:basedOn w:val="Normal"/>
    <w:next w:val="Normal"/>
    <w:link w:val="SubtitleChar"/>
    <w:uiPriority w:val="11"/>
    <w:qFormat/>
    <w:rsid w:val="007C069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C0695"/>
    <w:rPr>
      <w:rFonts w:ascii="Cambria" w:eastAsia="Times New Roman" w:hAnsi="Cambria" w:cs="Times New Roman"/>
      <w:i/>
      <w:iCs/>
      <w:color w:val="4F81BD"/>
      <w:spacing w:val="15"/>
      <w:sz w:val="24"/>
      <w:szCs w:val="24"/>
    </w:rPr>
  </w:style>
  <w:style w:type="table" w:styleId="TableGrid">
    <w:name w:val="Table Grid"/>
    <w:basedOn w:val="TableNormal"/>
    <w:uiPriority w:val="59"/>
    <w:rsid w:val="007C06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1">
    <w:name w:val="Light List Accent 1"/>
    <w:basedOn w:val="TableNormal"/>
    <w:uiPriority w:val="61"/>
    <w:rsid w:val="007C069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8C029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D69CA-B0F8-4CEF-AAA7-B768E94E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LShift</Company>
  <LinksUpToDate>false</LinksUpToDate>
  <CharactersWithSpaces>17780</CharactersWithSpaces>
  <SharedDoc>false</SharedDoc>
  <HLinks>
    <vt:vector size="138" baseType="variant">
      <vt:variant>
        <vt:i4>1179703</vt:i4>
      </vt:variant>
      <vt:variant>
        <vt:i4>134</vt:i4>
      </vt:variant>
      <vt:variant>
        <vt:i4>0</vt:i4>
      </vt:variant>
      <vt:variant>
        <vt:i4>5</vt:i4>
      </vt:variant>
      <vt:variant>
        <vt:lpwstr/>
      </vt:variant>
      <vt:variant>
        <vt:lpwstr>_Toc182825609</vt:lpwstr>
      </vt:variant>
      <vt:variant>
        <vt:i4>1179703</vt:i4>
      </vt:variant>
      <vt:variant>
        <vt:i4>128</vt:i4>
      </vt:variant>
      <vt:variant>
        <vt:i4>0</vt:i4>
      </vt:variant>
      <vt:variant>
        <vt:i4>5</vt:i4>
      </vt:variant>
      <vt:variant>
        <vt:lpwstr/>
      </vt:variant>
      <vt:variant>
        <vt:lpwstr>_Toc182825608</vt:lpwstr>
      </vt:variant>
      <vt:variant>
        <vt:i4>1179703</vt:i4>
      </vt:variant>
      <vt:variant>
        <vt:i4>122</vt:i4>
      </vt:variant>
      <vt:variant>
        <vt:i4>0</vt:i4>
      </vt:variant>
      <vt:variant>
        <vt:i4>5</vt:i4>
      </vt:variant>
      <vt:variant>
        <vt:lpwstr/>
      </vt:variant>
      <vt:variant>
        <vt:lpwstr>_Toc182825607</vt:lpwstr>
      </vt:variant>
      <vt:variant>
        <vt:i4>1179703</vt:i4>
      </vt:variant>
      <vt:variant>
        <vt:i4>116</vt:i4>
      </vt:variant>
      <vt:variant>
        <vt:i4>0</vt:i4>
      </vt:variant>
      <vt:variant>
        <vt:i4>5</vt:i4>
      </vt:variant>
      <vt:variant>
        <vt:lpwstr/>
      </vt:variant>
      <vt:variant>
        <vt:lpwstr>_Toc182825606</vt:lpwstr>
      </vt:variant>
      <vt:variant>
        <vt:i4>1179703</vt:i4>
      </vt:variant>
      <vt:variant>
        <vt:i4>110</vt:i4>
      </vt:variant>
      <vt:variant>
        <vt:i4>0</vt:i4>
      </vt:variant>
      <vt:variant>
        <vt:i4>5</vt:i4>
      </vt:variant>
      <vt:variant>
        <vt:lpwstr/>
      </vt:variant>
      <vt:variant>
        <vt:lpwstr>_Toc182825605</vt:lpwstr>
      </vt:variant>
      <vt:variant>
        <vt:i4>1179703</vt:i4>
      </vt:variant>
      <vt:variant>
        <vt:i4>104</vt:i4>
      </vt:variant>
      <vt:variant>
        <vt:i4>0</vt:i4>
      </vt:variant>
      <vt:variant>
        <vt:i4>5</vt:i4>
      </vt:variant>
      <vt:variant>
        <vt:lpwstr/>
      </vt:variant>
      <vt:variant>
        <vt:lpwstr>_Toc182825604</vt:lpwstr>
      </vt:variant>
      <vt:variant>
        <vt:i4>1179703</vt:i4>
      </vt:variant>
      <vt:variant>
        <vt:i4>98</vt:i4>
      </vt:variant>
      <vt:variant>
        <vt:i4>0</vt:i4>
      </vt:variant>
      <vt:variant>
        <vt:i4>5</vt:i4>
      </vt:variant>
      <vt:variant>
        <vt:lpwstr/>
      </vt:variant>
      <vt:variant>
        <vt:lpwstr>_Toc182825603</vt:lpwstr>
      </vt:variant>
      <vt:variant>
        <vt:i4>1179703</vt:i4>
      </vt:variant>
      <vt:variant>
        <vt:i4>92</vt:i4>
      </vt:variant>
      <vt:variant>
        <vt:i4>0</vt:i4>
      </vt:variant>
      <vt:variant>
        <vt:i4>5</vt:i4>
      </vt:variant>
      <vt:variant>
        <vt:lpwstr/>
      </vt:variant>
      <vt:variant>
        <vt:lpwstr>_Toc182825602</vt:lpwstr>
      </vt:variant>
      <vt:variant>
        <vt:i4>1179703</vt:i4>
      </vt:variant>
      <vt:variant>
        <vt:i4>86</vt:i4>
      </vt:variant>
      <vt:variant>
        <vt:i4>0</vt:i4>
      </vt:variant>
      <vt:variant>
        <vt:i4>5</vt:i4>
      </vt:variant>
      <vt:variant>
        <vt:lpwstr/>
      </vt:variant>
      <vt:variant>
        <vt:lpwstr>_Toc182825601</vt:lpwstr>
      </vt:variant>
      <vt:variant>
        <vt:i4>1179703</vt:i4>
      </vt:variant>
      <vt:variant>
        <vt:i4>80</vt:i4>
      </vt:variant>
      <vt:variant>
        <vt:i4>0</vt:i4>
      </vt:variant>
      <vt:variant>
        <vt:i4>5</vt:i4>
      </vt:variant>
      <vt:variant>
        <vt:lpwstr/>
      </vt:variant>
      <vt:variant>
        <vt:lpwstr>_Toc182825600</vt:lpwstr>
      </vt:variant>
      <vt:variant>
        <vt:i4>1769524</vt:i4>
      </vt:variant>
      <vt:variant>
        <vt:i4>74</vt:i4>
      </vt:variant>
      <vt:variant>
        <vt:i4>0</vt:i4>
      </vt:variant>
      <vt:variant>
        <vt:i4>5</vt:i4>
      </vt:variant>
      <vt:variant>
        <vt:lpwstr/>
      </vt:variant>
      <vt:variant>
        <vt:lpwstr>_Toc182825599</vt:lpwstr>
      </vt:variant>
      <vt:variant>
        <vt:i4>1769524</vt:i4>
      </vt:variant>
      <vt:variant>
        <vt:i4>68</vt:i4>
      </vt:variant>
      <vt:variant>
        <vt:i4>0</vt:i4>
      </vt:variant>
      <vt:variant>
        <vt:i4>5</vt:i4>
      </vt:variant>
      <vt:variant>
        <vt:lpwstr/>
      </vt:variant>
      <vt:variant>
        <vt:lpwstr>_Toc182825598</vt:lpwstr>
      </vt:variant>
      <vt:variant>
        <vt:i4>1769524</vt:i4>
      </vt:variant>
      <vt:variant>
        <vt:i4>62</vt:i4>
      </vt:variant>
      <vt:variant>
        <vt:i4>0</vt:i4>
      </vt:variant>
      <vt:variant>
        <vt:i4>5</vt:i4>
      </vt:variant>
      <vt:variant>
        <vt:lpwstr/>
      </vt:variant>
      <vt:variant>
        <vt:lpwstr>_Toc182825597</vt:lpwstr>
      </vt:variant>
      <vt:variant>
        <vt:i4>1769524</vt:i4>
      </vt:variant>
      <vt:variant>
        <vt:i4>56</vt:i4>
      </vt:variant>
      <vt:variant>
        <vt:i4>0</vt:i4>
      </vt:variant>
      <vt:variant>
        <vt:i4>5</vt:i4>
      </vt:variant>
      <vt:variant>
        <vt:lpwstr/>
      </vt:variant>
      <vt:variant>
        <vt:lpwstr>_Toc182825596</vt:lpwstr>
      </vt:variant>
      <vt:variant>
        <vt:i4>1769524</vt:i4>
      </vt:variant>
      <vt:variant>
        <vt:i4>50</vt:i4>
      </vt:variant>
      <vt:variant>
        <vt:i4>0</vt:i4>
      </vt:variant>
      <vt:variant>
        <vt:i4>5</vt:i4>
      </vt:variant>
      <vt:variant>
        <vt:lpwstr/>
      </vt:variant>
      <vt:variant>
        <vt:lpwstr>_Toc182825595</vt:lpwstr>
      </vt:variant>
      <vt:variant>
        <vt:i4>1769524</vt:i4>
      </vt:variant>
      <vt:variant>
        <vt:i4>44</vt:i4>
      </vt:variant>
      <vt:variant>
        <vt:i4>0</vt:i4>
      </vt:variant>
      <vt:variant>
        <vt:i4>5</vt:i4>
      </vt:variant>
      <vt:variant>
        <vt:lpwstr/>
      </vt:variant>
      <vt:variant>
        <vt:lpwstr>_Toc182825594</vt:lpwstr>
      </vt:variant>
      <vt:variant>
        <vt:i4>1769524</vt:i4>
      </vt:variant>
      <vt:variant>
        <vt:i4>38</vt:i4>
      </vt:variant>
      <vt:variant>
        <vt:i4>0</vt:i4>
      </vt:variant>
      <vt:variant>
        <vt:i4>5</vt:i4>
      </vt:variant>
      <vt:variant>
        <vt:lpwstr/>
      </vt:variant>
      <vt:variant>
        <vt:lpwstr>_Toc182825593</vt:lpwstr>
      </vt:variant>
      <vt:variant>
        <vt:i4>1769524</vt:i4>
      </vt:variant>
      <vt:variant>
        <vt:i4>32</vt:i4>
      </vt:variant>
      <vt:variant>
        <vt:i4>0</vt:i4>
      </vt:variant>
      <vt:variant>
        <vt:i4>5</vt:i4>
      </vt:variant>
      <vt:variant>
        <vt:lpwstr/>
      </vt:variant>
      <vt:variant>
        <vt:lpwstr>_Toc182825592</vt:lpwstr>
      </vt:variant>
      <vt:variant>
        <vt:i4>1769524</vt:i4>
      </vt:variant>
      <vt:variant>
        <vt:i4>26</vt:i4>
      </vt:variant>
      <vt:variant>
        <vt:i4>0</vt:i4>
      </vt:variant>
      <vt:variant>
        <vt:i4>5</vt:i4>
      </vt:variant>
      <vt:variant>
        <vt:lpwstr/>
      </vt:variant>
      <vt:variant>
        <vt:lpwstr>_Toc182825591</vt:lpwstr>
      </vt:variant>
      <vt:variant>
        <vt:i4>1769524</vt:i4>
      </vt:variant>
      <vt:variant>
        <vt:i4>20</vt:i4>
      </vt:variant>
      <vt:variant>
        <vt:i4>0</vt:i4>
      </vt:variant>
      <vt:variant>
        <vt:i4>5</vt:i4>
      </vt:variant>
      <vt:variant>
        <vt:lpwstr/>
      </vt:variant>
      <vt:variant>
        <vt:lpwstr>_Toc182825590</vt:lpwstr>
      </vt:variant>
      <vt:variant>
        <vt:i4>1703988</vt:i4>
      </vt:variant>
      <vt:variant>
        <vt:i4>14</vt:i4>
      </vt:variant>
      <vt:variant>
        <vt:i4>0</vt:i4>
      </vt:variant>
      <vt:variant>
        <vt:i4>5</vt:i4>
      </vt:variant>
      <vt:variant>
        <vt:lpwstr/>
      </vt:variant>
      <vt:variant>
        <vt:lpwstr>_Toc182825589</vt:lpwstr>
      </vt:variant>
      <vt:variant>
        <vt:i4>1703988</vt:i4>
      </vt:variant>
      <vt:variant>
        <vt:i4>8</vt:i4>
      </vt:variant>
      <vt:variant>
        <vt:i4>0</vt:i4>
      </vt:variant>
      <vt:variant>
        <vt:i4>5</vt:i4>
      </vt:variant>
      <vt:variant>
        <vt:lpwstr/>
      </vt:variant>
      <vt:variant>
        <vt:lpwstr>_Toc182825588</vt:lpwstr>
      </vt:variant>
      <vt:variant>
        <vt:i4>1703988</vt:i4>
      </vt:variant>
      <vt:variant>
        <vt:i4>2</vt:i4>
      </vt:variant>
      <vt:variant>
        <vt:i4>0</vt:i4>
      </vt:variant>
      <vt:variant>
        <vt:i4>5</vt:i4>
      </vt:variant>
      <vt:variant>
        <vt:lpwstr/>
      </vt:variant>
      <vt:variant>
        <vt:lpwstr>_Toc182825587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Perry</dc:creator>
  <cp:lastModifiedBy>admin</cp:lastModifiedBy>
  <cp:revision>3</cp:revision>
  <cp:lastPrinted>2008-02-08T14:03:00Z</cp:lastPrinted>
  <dcterms:created xsi:type="dcterms:W3CDTF">2008-02-08T14:29:00Z</dcterms:created>
  <dcterms:modified xsi:type="dcterms:W3CDTF">2008-11-14T15:37:00Z</dcterms:modified>
</cp:coreProperties>
</file>