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 Submission Analysis Report</w:t>
      </w:r>
    </w:p>
    <w:p>
      <w:pPr>
        <w:pStyle w:val="Heading2"/>
      </w:pPr>
      <w:r>
        <w:t>Late Submission Statistics by Course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Total_Submissions</w:t>
            </w:r>
          </w:p>
        </w:tc>
        <w:tc>
          <w:tcPr>
            <w:tcW w:type="dxa" w:w="2160"/>
          </w:tcPr>
          <w:p>
            <w:r>
              <w:t>Late_Submissions</w:t>
            </w:r>
          </w:p>
        </w:tc>
        <w:tc>
          <w:tcPr>
            <w:tcW w:type="dxa" w:w="2160"/>
          </w:tcPr>
          <w:p>
            <w:r>
              <w:t>Late_Rate_Pct</w:t>
            </w:r>
          </w:p>
        </w:tc>
      </w:tr>
      <w:tr>
        <w:tc>
          <w:tcPr>
            <w:tcW w:type="dxa" w:w="2160"/>
          </w:tcPr>
          <w:p>
            <w:r>
              <w:t>Креативные вычисления и культура (Весна 2014)</w:t>
            </w:r>
          </w:p>
        </w:tc>
        <w:tc>
          <w:tcPr>
            <w:tcW w:type="dxa" w:w="2160"/>
          </w:tcPr>
          <w:p>
            <w:r>
              <w:t>7489</w:t>
            </w:r>
          </w:p>
        </w:tc>
        <w:tc>
          <w:tcPr>
            <w:tcW w:type="dxa" w:w="2160"/>
          </w:tcPr>
          <w:p>
            <w:r>
              <w:t>4529</w:t>
            </w:r>
          </w:p>
        </w:tc>
        <w:tc>
          <w:tcPr>
            <w:tcW w:type="dxa" w:w="2160"/>
          </w:tcPr>
          <w:p>
            <w:r>
              <w:t>60.5</w:t>
            </w:r>
          </w:p>
        </w:tc>
      </w:tr>
      <w:tr>
        <w:tc>
          <w:tcPr>
            <w:tcW w:type="dxa" w:w="2160"/>
          </w:tcPr>
          <w:p>
            <w:r>
              <w:t>Креативные вычисления и культура (Осень 2014)</w:t>
            </w:r>
          </w:p>
        </w:tc>
        <w:tc>
          <w:tcPr>
            <w:tcW w:type="dxa" w:w="2160"/>
          </w:tcPr>
          <w:p>
            <w:r>
              <w:t>11451</w:t>
            </w:r>
          </w:p>
        </w:tc>
        <w:tc>
          <w:tcPr>
            <w:tcW w:type="dxa" w:w="2160"/>
          </w:tcPr>
          <w:p>
            <w:r>
              <w:t>6638</w:t>
            </w:r>
          </w:p>
        </w:tc>
        <w:tc>
          <w:tcPr>
            <w:tcW w:type="dxa" w:w="2160"/>
          </w:tcPr>
          <w:p>
            <w:r>
              <w:t>58.0</w:t>
            </w:r>
          </w:p>
        </w:tc>
      </w:tr>
      <w:tr>
        <w:tc>
          <w:tcPr>
            <w:tcW w:type="dxa" w:w="2160"/>
          </w:tcPr>
          <w:p>
            <w:r>
              <w:t>Проектирование на основе данных (Весна 2013)</w:t>
            </w:r>
          </w:p>
        </w:tc>
        <w:tc>
          <w:tcPr>
            <w:tcW w:type="dxa" w:w="2160"/>
          </w:tcPr>
          <w:p>
            <w:r>
              <w:t>10373</w:t>
            </w:r>
          </w:p>
        </w:tc>
        <w:tc>
          <w:tcPr>
            <w:tcW w:type="dxa" w:w="2160"/>
          </w:tcPr>
          <w:p>
            <w:r>
              <w:t>5907</w:t>
            </w:r>
          </w:p>
        </w:tc>
        <w:tc>
          <w:tcPr>
            <w:tcW w:type="dxa" w:w="2160"/>
          </w:tcPr>
          <w:p>
            <w:r>
              <w:t>56.9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(Весна 2013)</w:t>
            </w:r>
          </w:p>
        </w:tc>
        <w:tc>
          <w:tcPr>
            <w:tcW w:type="dxa" w:w="2160"/>
          </w:tcPr>
          <w:p>
            <w:r>
              <w:t>11256</w:t>
            </w:r>
          </w:p>
        </w:tc>
        <w:tc>
          <w:tcPr>
            <w:tcW w:type="dxa" w:w="2160"/>
          </w:tcPr>
          <w:p>
            <w:r>
              <w:t>6350</w:t>
            </w:r>
          </w:p>
        </w:tc>
        <w:tc>
          <w:tcPr>
            <w:tcW w:type="dxa" w:w="2160"/>
          </w:tcPr>
          <w:p>
            <w:r>
              <w:t>56.4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(Весна 2014)</w:t>
            </w:r>
          </w:p>
        </w:tc>
        <w:tc>
          <w:tcPr>
            <w:tcW w:type="dxa" w:w="2160"/>
          </w:tcPr>
          <w:p>
            <w:r>
              <w:t>9993</w:t>
            </w:r>
          </w:p>
        </w:tc>
        <w:tc>
          <w:tcPr>
            <w:tcW w:type="dxa" w:w="2160"/>
          </w:tcPr>
          <w:p>
            <w:r>
              <w:t>5493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(Осень 2013)</w:t>
            </w:r>
          </w:p>
        </w:tc>
        <w:tc>
          <w:tcPr>
            <w:tcW w:type="dxa" w:w="2160"/>
          </w:tcPr>
          <w:p>
            <w:r>
              <w:t>14375</w:t>
            </w:r>
          </w:p>
        </w:tc>
        <w:tc>
          <w:tcPr>
            <w:tcW w:type="dxa" w:w="2160"/>
          </w:tcPr>
          <w:p>
            <w:r>
              <w:t>7696</w:t>
            </w:r>
          </w:p>
        </w:tc>
        <w:tc>
          <w:tcPr>
            <w:tcW w:type="dxa" w:w="2160"/>
          </w:tcPr>
          <w:p>
            <w:r>
              <w:t>53.5</w:t>
            </w:r>
          </w:p>
        </w:tc>
      </w:tr>
      <w:tr>
        <w:tc>
          <w:tcPr>
            <w:tcW w:type="dxa" w:w="2160"/>
          </w:tcPr>
          <w:p>
            <w:r>
              <w:t>Прикладная аналитика и алгоритмы (Осень 2014)</w:t>
            </w:r>
          </w:p>
        </w:tc>
        <w:tc>
          <w:tcPr>
            <w:tcW w:type="dxa" w:w="2160"/>
          </w:tcPr>
          <w:p>
            <w:r>
              <w:t>1516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</w:tr>
      <w:tr>
        <w:tc>
          <w:tcPr>
            <w:tcW w:type="dxa" w:w="2160"/>
          </w:tcPr>
          <w:p>
            <w:r>
              <w:t>Прикладная аналитика и алгоритмы (Осень 2013)</w:t>
            </w:r>
          </w:p>
        </w:tc>
        <w:tc>
          <w:tcPr>
            <w:tcW w:type="dxa" w:w="2160"/>
          </w:tcPr>
          <w:p>
            <w:r>
              <w:t>1633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</w:tr>
      <w:tr>
        <w:tc>
          <w:tcPr>
            <w:tcW w:type="dxa" w:w="2160"/>
          </w:tcPr>
          <w:p>
            <w:r>
              <w:t>Экологическая экономика и этика (Весна 2014)</w:t>
            </w:r>
          </w:p>
        </w:tc>
        <w:tc>
          <w:tcPr>
            <w:tcW w:type="dxa" w:w="2160"/>
          </w:tcPr>
          <w:p>
            <w:r>
              <w:t>1780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</w:tr>
      <w:tr>
        <w:tc>
          <w:tcPr>
            <w:tcW w:type="dxa" w:w="2160"/>
          </w:tcPr>
          <w:p>
            <w:r>
              <w:t>Экологическая экономика и этика (Осень 2013)</w:t>
            </w:r>
          </w:p>
        </w:tc>
        <w:tc>
          <w:tcPr>
            <w:tcW w:type="dxa" w:w="2160"/>
          </w:tcPr>
          <w:p>
            <w:r>
              <w:t>2884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14.8</w:t>
            </w:r>
          </w:p>
        </w:tc>
      </w:tr>
      <w:tr>
        <w:tc>
          <w:tcPr>
            <w:tcW w:type="dxa" w:w="2160"/>
          </w:tcPr>
          <w:p>
            <w:r>
              <w:t>Проектирование на основе данных (Весна 2014)</w:t>
            </w:r>
          </w:p>
        </w:tc>
        <w:tc>
          <w:tcPr>
            <w:tcW w:type="dxa" w:w="2160"/>
          </w:tcPr>
          <w:p>
            <w:r>
              <w:t>4542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Экологическая экономика и этика (Осень 2014)</w:t>
            </w:r>
          </w:p>
        </w:tc>
        <w:tc>
          <w:tcPr>
            <w:tcW w:type="dxa" w:w="2160"/>
          </w:tcPr>
          <w:p>
            <w:r>
              <w:t>3229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Проектирование на основе данных (Осень 2013)</w:t>
            </w:r>
          </w:p>
        </w:tc>
        <w:tc>
          <w:tcPr>
            <w:tcW w:type="dxa" w:w="2160"/>
          </w:tcPr>
          <w:p>
            <w:r>
              <w:t>7936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(Осень 2014)</w:t>
            </w:r>
          </w:p>
        </w:tc>
        <w:tc>
          <w:tcPr>
            <w:tcW w:type="dxa" w:w="2160"/>
          </w:tcPr>
          <w:p>
            <w:r>
              <w:t>7408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12.2</w:t>
            </w:r>
          </w:p>
        </w:tc>
      </w:tr>
      <w:tr>
        <w:tc>
          <w:tcPr>
            <w:tcW w:type="dxa" w:w="2160"/>
          </w:tcPr>
          <w:p>
            <w:r>
              <w:t>Проектирование на основе данных (Осень 2014)</w:t>
            </w:r>
          </w:p>
        </w:tc>
        <w:tc>
          <w:tcPr>
            <w:tcW w:type="dxa" w:w="2160"/>
          </w:tcPr>
          <w:p>
            <w:r>
              <w:t>8013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Основы финансов (Весна 2013)</w:t>
            </w:r>
          </w:p>
        </w:tc>
        <w:tc>
          <w:tcPr>
            <w:tcW w:type="dxa" w:w="2160"/>
          </w:tcPr>
          <w:p>
            <w:r>
              <w:t>12195</w:t>
            </w:r>
          </w:p>
        </w:tc>
        <w:tc>
          <w:tcPr>
            <w:tcW w:type="dxa" w:w="2160"/>
          </w:tcPr>
          <w:p>
            <w:r>
              <w:t>1384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2014)</w:t>
            </w:r>
          </w:p>
        </w:tc>
        <w:tc>
          <w:tcPr>
            <w:tcW w:type="dxa" w:w="2160"/>
          </w:tcPr>
          <w:p>
            <w:r>
              <w:t>4373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(Весна 2014)</w:t>
            </w:r>
          </w:p>
        </w:tc>
        <w:tc>
          <w:tcPr>
            <w:tcW w:type="dxa" w:w="2160"/>
          </w:tcPr>
          <w:p>
            <w:r>
              <w:t>4896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10.4</w:t>
            </w:r>
          </w:p>
        </w:tc>
      </w:tr>
      <w:tr>
        <w:tc>
          <w:tcPr>
            <w:tcW w:type="dxa" w:w="2160"/>
          </w:tcPr>
          <w:p>
            <w:r>
              <w:t>Основы финансов (Осень 2014)</w:t>
            </w:r>
          </w:p>
        </w:tc>
        <w:tc>
          <w:tcPr>
            <w:tcW w:type="dxa" w:w="2160"/>
          </w:tcPr>
          <w:p>
            <w:r>
              <w:t>16184</w:t>
            </w:r>
          </w:p>
        </w:tc>
        <w:tc>
          <w:tcPr>
            <w:tcW w:type="dxa" w:w="2160"/>
          </w:tcPr>
          <w:p>
            <w:r>
              <w:t>1669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</w:tr>
      <w:tr>
        <w:tc>
          <w:tcPr>
            <w:tcW w:type="dxa" w:w="2160"/>
          </w:tcPr>
          <w:p>
            <w:r>
              <w:t>Основы финансов (Весна 2014)</w:t>
            </w:r>
          </w:p>
        </w:tc>
        <w:tc>
          <w:tcPr>
            <w:tcW w:type="dxa" w:w="2160"/>
          </w:tcPr>
          <w:p>
            <w:r>
              <w:t>10196</w:t>
            </w:r>
          </w:p>
        </w:tc>
        <w:tc>
          <w:tcPr>
            <w:tcW w:type="dxa" w:w="2160"/>
          </w:tcPr>
          <w:p>
            <w:r>
              <w:t>1025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</w:tr>
      <w:tr>
        <w:tc>
          <w:tcPr>
            <w:tcW w:type="dxa" w:w="2160"/>
          </w:tcPr>
          <w:p>
            <w:r>
              <w:t>Основы финансов (Осень 2013)</w:t>
            </w:r>
          </w:p>
        </w:tc>
        <w:tc>
          <w:tcPr>
            <w:tcW w:type="dxa" w:w="2160"/>
          </w:tcPr>
          <w:p>
            <w:r>
              <w:t>16240</w:t>
            </w:r>
          </w:p>
        </w:tc>
        <w:tc>
          <w:tcPr>
            <w:tcW w:type="dxa" w:w="2160"/>
          </w:tcPr>
          <w:p>
            <w:r>
              <w:t>1623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2013)</w:t>
            </w:r>
          </w:p>
        </w:tc>
        <w:tc>
          <w:tcPr>
            <w:tcW w:type="dxa" w:w="2160"/>
          </w:tcPr>
          <w:p>
            <w:r>
              <w:t>5950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9.4</w:t>
            </w:r>
          </w:p>
        </w:tc>
      </w:tr>
    </w:tbl>
    <w:p>
      <w:pPr>
        <w:pStyle w:val="Heading2"/>
      </w:pPr>
      <w:r>
        <w:t>Policy Recommendations</w:t>
      </w:r>
    </w:p>
    <w:p>
      <w:r>
        <w:t>Based on the analysis, the following three courses have the highest late submission rates and require immediate intervention:</w:t>
      </w:r>
    </w:p>
    <w:p>
      <w:r>
        <w:t>1. Creative Computing &amp; Culture (Spring 2014): 60.5% late submission rate (4529 out of 7489 submissions)</w:t>
      </w:r>
    </w:p>
    <w:p>
      <w:r>
        <w:t>2. Creative Computing &amp; Culture (Fall 2014): 58.0% late submission rate (6638 out of 11451 submissions)</w:t>
      </w:r>
    </w:p>
    <w:p>
      <w:r>
        <w:t>3. Data-Driven Design (Spring 2013): 56.9% late submission rate (5907 out of 10373 submissions)</w:t>
      </w:r>
    </w:p>
    <w:p>
      <w:r>
        <w:t>Recommendations:</w:t>
      </w:r>
    </w:p>
    <w:p>
      <w:r>
        <w:t>1. Implement automated early warning notifications for students who have not submitted assignments 48 hours before the deadline.</w:t>
      </w:r>
    </w:p>
    <w:p>
      <w:r>
        <w:t>2. Consider introducing a grace period policy for first-time late submissions to reduce student stress while maintaining academic standards.</w:t>
      </w:r>
    </w:p>
    <w:p>
      <w:r>
        <w:t>3. Schedule dedicated intervention sessions (Late Submission Review) for the three highest-rate courses to discuss strategies with teaching teams.</w:t>
      </w:r>
    </w:p>
    <w:p>
      <w:r>
        <w:t>4. Review whether assignment due dates cluster around other academic obligations such as exams or major project deadlines.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