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Skills Gap Analysis</w:t>
      </w:r>
    </w:p>
    <w:p>
      <w:pPr>
        <w:pStyle w:val="Heading1"/>
      </w:pPr>
      <w:r>
        <w:t>Methodology</w:t>
      </w:r>
    </w:p>
    <w:p>
      <w:r>
        <w:t>В этом разделе описана методология с подробным анализом и выводами на основе собранных данных.</w:t>
      </w:r>
    </w:p>
    <w:p>
      <w:pPr>
        <w:pStyle w:val="Heading1"/>
      </w:pPr>
      <w:r>
        <w:t>Department Analysis</w:t>
      </w:r>
    </w:p>
    <w:p>
      <w:r>
        <w:t>В этом разделе представлен анализ подразделений с подробным разбором и выводами на основе собранных данных.</w:t>
      </w:r>
    </w:p>
    <w:p>
      <w:pPr>
        <w:pStyle w:val="Heading1"/>
      </w:pPr>
      <w:r>
        <w:t>Critical Gaps Identified</w:t>
      </w:r>
    </w:p>
    <w:p>
      <w:r>
        <w:t>В этом разделе перечислены выявленные критические пробелы с подробным анализом и выводами на основе собранных данных.</w:t>
      </w:r>
    </w:p>
    <w:p>
      <w:pPr>
        <w:pStyle w:val="Heading1"/>
      </w:pPr>
      <w:r>
        <w:t>Training Recommendations</w:t>
      </w:r>
    </w:p>
    <w:p>
      <w:r>
        <w:t>В этом разделе приведены рекомендации по обучению с подробным анализом и выводами на основе собранных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