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Satisfaction Executive Summary</w:t>
      </w:r>
    </w:p>
    <w:p>
      <w:pPr>
        <w:pStyle w:val="Heading1"/>
      </w:pPr>
      <w:r>
        <w:t>Situation</w:t>
      </w:r>
    </w:p>
    <w:p>
      <w:r>
        <w:t>We conducted a comprehensive customer satisfaction analysis integrating survey responses from 245 customers with support data from 847 service interactions. The analysis revealed our overall satisfaction score of 4.2 out of 5.0 with a Net Promoter Score of 42, indicating solid customer relationships with meaningful improvement opportunities.</w:t>
      </w:r>
    </w:p>
    <w:p>
      <w:pPr>
        <w:pStyle w:val="Heading1"/>
      </w:pPr>
      <w:r>
        <w:t>Key Metrics</w:t>
      </w:r>
    </w:p>
    <w:p>
      <w:pPr>
        <w:pStyle w:val="ListBullet"/>
      </w:pPr>
      <w:r>
        <w:t>Overall Satisfaction Score: 4.2/5.0 (84% positive)</w:t>
      </w:r>
    </w:p>
    <w:p>
      <w:pPr>
        <w:pStyle w:val="ListBullet"/>
      </w:pPr>
      <w:r>
        <w:t>Net Promoter Score: 42 (promoters 52%, detractors 10%)</w:t>
      </w:r>
    </w:p>
    <w:p>
      <w:pPr>
        <w:pStyle w:val="ListBullet"/>
      </w:pPr>
      <w:r>
        <w:t>First Contact Resolution: 75% (gap to 85% target)</w:t>
      </w:r>
    </w:p>
    <w:p>
      <w:pPr>
        <w:pStyle w:val="ListBullet"/>
      </w:pPr>
      <w:r>
        <w:t>Average Resolution Time: 3.4 hours (target 2 hours)</w:t>
      </w:r>
    </w:p>
    <w:p>
      <w:pPr>
        <w:pStyle w:val="Heading1"/>
      </w:pPr>
      <w:r>
        <w:t>Critical Insights</w:t>
      </w:r>
    </w:p>
    <w:p>
      <w:pPr>
        <w:pStyle w:val="ListBullet"/>
      </w:pPr>
      <w:r>
        <w:t>Ease of use is our strongest dimension at 4.4/5.0, reflecting excellent product design</w:t>
      </w:r>
    </w:p>
    <w:p>
      <w:pPr>
        <w:pStyle w:val="ListBullet"/>
      </w:pPr>
      <w:r>
        <w:t>Support quality at 4.0/5.0 presents the largest improvement opportunity</w:t>
      </w:r>
    </w:p>
    <w:p>
      <w:pPr>
        <w:pStyle w:val="ListBullet"/>
      </w:pPr>
      <w:r>
        <w:t>SMB segment significantly underperforms enterprise (4.0 vs 4.5), requiring targeted intervention</w:t>
      </w:r>
    </w:p>
    <w:p>
      <w:pPr>
        <w:pStyle w:val="ListBullet"/>
      </w:pPr>
      <w:r>
        <w:t>First contact resolution drives 50% of satisfaction variance (r=0.68)</w:t>
      </w:r>
    </w:p>
    <w:p>
      <w:pPr>
        <w:pStyle w:val="Heading1"/>
      </w:pPr>
      <w:r>
        <w:t>Recommended Actions</w:t>
      </w:r>
    </w:p>
    <w:p>
      <w:pPr>
        <w:pStyle w:val="Heading2"/>
      </w:pPr>
      <w:r>
        <w:t>Immediate (30 days)</w:t>
      </w:r>
    </w:p>
    <w:p>
      <w:pPr>
        <w:pStyle w:val="ListBullet"/>
      </w:pPr>
      <w:r>
        <w:t>Launch first contact resolution improvement program</w:t>
      </w:r>
    </w:p>
    <w:p>
      <w:pPr>
        <w:pStyle w:val="ListBullet"/>
      </w:pPr>
      <w:r>
        <w:t>Implement value proposition communication campaign</w:t>
      </w:r>
    </w:p>
    <w:p>
      <w:pPr>
        <w:pStyle w:val="Heading2"/>
      </w:pPr>
      <w:r>
        <w:t>Near-term (60-90 days)</w:t>
      </w:r>
    </w:p>
    <w:p>
      <w:pPr>
        <w:pStyle w:val="ListBullet"/>
      </w:pPr>
      <w:r>
        <w:t>Deploy enhanced knowledge management system</w:t>
      </w:r>
    </w:p>
    <w:p>
      <w:pPr>
        <w:pStyle w:val="ListBullet"/>
      </w:pPr>
      <w:r>
        <w:t>Conduct comprehensive support team training</w:t>
      </w:r>
    </w:p>
    <w:p>
      <w:pPr>
        <w:pStyle w:val="Heading2"/>
      </w:pPr>
      <w:r>
        <w:t>Medium-term (120-180 days)</w:t>
      </w:r>
    </w:p>
    <w:p>
      <w:pPr>
        <w:pStyle w:val="ListBullet"/>
      </w:pPr>
      <w:r>
        <w:t>Develop specialized SMB customer success program</w:t>
      </w:r>
    </w:p>
    <w:p>
      <w:pPr>
        <w:pStyle w:val="ListBullet"/>
      </w:pPr>
      <w:r>
        <w:t>Implement AI-powered support escalation</w:t>
      </w:r>
    </w:p>
    <w:p>
      <w:pPr>
        <w:pStyle w:val="Heading1"/>
      </w:pPr>
      <w:r>
        <w:t>Expected Business Impact</w:t>
      </w:r>
    </w:p>
    <w:p>
      <w:r>
        <w:t>Implementation of recommended initiatives is projected to increase overall satisfaction to 4.5+ within six months, improve NPS to 50+, and reduce customer churn by 8-12 percentage points. The combined impact on annual recurring revenue is estimated at $1.2-1.5 million through improved retention and expansion revenue from highly satisfied customers.</w:t>
      </w:r>
    </w:p>
    <w:p>
      <w:pPr>
        <w:pStyle w:val="Heading1"/>
      </w:pPr>
      <w:r>
        <w:t>Resource Requirements</w:t>
      </w:r>
    </w:p>
    <w:p>
      <w:pPr>
        <w:pStyle w:val="ListBullet"/>
      </w:pPr>
      <w:r>
        <w:t>Total investment: $150,000 over six months</w:t>
      </w:r>
    </w:p>
    <w:p>
      <w:pPr>
        <w:pStyle w:val="ListBullet"/>
      </w:pPr>
      <w:r>
        <w:t>Primary responsibility: Head of Customer Success</w:t>
      </w:r>
    </w:p>
    <w:p>
      <w:pPr>
        <w:pStyle w:val="ListBullet"/>
      </w:pPr>
      <w:r>
        <w:t>Cross-functional support: Product, Engineering,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