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Email-планировщика</w:t>
      </w:r>
    </w:p>
    <w:p>
      <w:pPr>
        <w:pStyle w:val="Heading2"/>
      </w:pPr>
      <w:r>
        <w:t>Обзор (Executive Summary)</w:t>
      </w:r>
    </w:p>
    <w:p>
      <w:r>
        <w:t>В отчёте сравниваются внутренние метрики email-рассылок с внешними отраслевыми бенчмарками за 1 квартал 2026 года по подразделениям компании.</w:t>
      </w:r>
    </w:p>
    <w:p>
      <w:pPr>
        <w:pStyle w:val="Heading2"/>
      </w:pPr>
      <w:r>
        <w:t>Ключевые выводы (Key Findings)</w:t>
      </w:r>
    </w:p>
    <w:p>
      <w:r>
        <w:t>Наибольшее отставание от бенчмарка зафиксировано у Отдела маркетинга (отрыв -10 баллов). Отдел продаж превышает бенчмарк на 5 баллов. Средний разрыв составляет -2.5 балла.</w:t>
      </w:r>
    </w:p>
    <w:p>
      <w:pPr>
        <w:pStyle w:val="Heading2"/>
      </w:pPr>
      <w:r>
        <w:t>Рекомендации (Recommendations)</w:t>
      </w:r>
    </w:p>
    <w:p>
      <w:r>
        <w:t>Сосредоточиться на подразделениях с наибольшим отрицательным разрывом. В первую очередь проработать показатели Отдела маркетинга.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