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пищевой ценности кейтеринга</w:t>
      </w:r>
    </w:p>
    <w:p>
      <w:pPr>
        <w:pStyle w:val="Heading1"/>
      </w:pPr>
      <w:r>
        <w:t>Краткое резюме</w:t>
      </w:r>
    </w:p>
    <w:p>
      <w:r>
        <w:t>В отчёте проанализирована пищевая ценность пяти супов из кулинарной базы рецептов: оценены калорийность и содержание белка, проведено сравнение с дневной нормой по белку.</w:t>
      </w:r>
    </w:p>
    <w:p>
      <w:pPr>
        <w:pStyle w:val="Heading1"/>
      </w:pPr>
      <w:r>
        <w:t>Ключевые выводы</w:t>
      </w:r>
    </w:p>
    <w:p>
      <w:r>
        <w:t>Из 5 рассмотренных блюд 2 соответствуют дневной норме по белку. Средняя калорийность составляет около 266 ккал на порцию.</w:t>
      </w:r>
    </w:p>
    <w:p>
      <w:pPr>
        <w:pStyle w:val="Heading1"/>
      </w:pPr>
      <w:r>
        <w:t>Рекомендации</w:t>
      </w:r>
    </w:p>
    <w:p>
      <w:r>
        <w:t>Рекомендуется добавить больше высокобелковых блюд и разнообразить категории меню для сбалансированного рациона.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