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 2026 Sales Forecast Report</w:t>
      </w:r>
    </w:p>
    <w:p>
      <w:pPr>
        <w:pStyle w:val="Heading1"/>
      </w:pPr>
      <w:r>
        <w:t>Обзор рынка</w:t>
      </w:r>
    </w:p>
    <w:p>
      <w:r>
        <w:t>Глобальный рыночный прогноз на Q2 2026 показывает неравномерный рост по регионам со средним прогнозируемым темпом роста 5.6%. Общая текущая выручка составляет $3,048,998.33, а общая прогнозируемая выручка достигает $3,219,098.33.</w:t>
      </w:r>
    </w:p>
    <w:p>
      <w:pPr>
        <w:pStyle w:val="Heading1"/>
      </w:pPr>
      <w:r>
        <w:t>Региональный анализ</w:t>
      </w:r>
    </w:p>
    <w:p>
      <w:r>
        <w:t>Азиатско-Тихоокеанский регион: текущая выручка $642,644.81 при прогнозируемом темпе роста 8.5%, что даёт прогнозируемую выручку $697,269.62.</w:t>
      </w:r>
    </w:p>
    <w:p>
      <w:r>
        <w:t>Латинская Америка: текущая выручка $549,129.15 при прогнозируемом темпе роста 6.8%, что даёт прогнозируемую выручку $586,469.93.</w:t>
      </w:r>
    </w:p>
    <w:p>
      <w:r>
        <w:t>Ближний Восток: текущая выручка $602,107.55 при прогнозируемом темпе роста 5.4%, что даёт прогнозируемую выручку $634,621.36.</w:t>
      </w:r>
    </w:p>
    <w:p>
      <w:r>
        <w:t>Северная Америка: текущая выручка $606,318.35 при прогнозируемом темпе роста 4.1%, что даёт прогнозируемую выручку $631,177.40.</w:t>
      </w:r>
    </w:p>
    <w:p>
      <w:r>
        <w:t>Европа: текущая выручка $648,798.47 при прогнозируемом темпе роста 3.2%, что даёт прогнозируемую выручку $669,560.02.</w:t>
      </w:r>
    </w:p>
    <w:p>
      <w:pPr>
        <w:pStyle w:val="Heading1"/>
      </w:pPr>
      <w:r>
        <w:t>Стратегические рекомендации</w:t>
      </w:r>
    </w:p>
    <w:p>
      <w:r>
        <w:t>1. Увеличить инвестиции в регионы с высоким темпом роста, чтобы воспользоваться расширением рынка.</w:t>
      </w:r>
    </w:p>
    <w:p>
      <w:r>
        <w:t>2. Оптимизировать операции в регионах с низким темпом роста для повышения маржинальности.</w:t>
      </w:r>
    </w:p>
    <w:p>
      <w:r>
        <w:t>3. Развивать межрегиональные партнёрства для использования возможностей роста на всех рынках.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