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Отчёт об анализе влияния цен на сырьё</w:t>
      </w:r>
    </w:p>
    <w:p>
      <w:pPr>
        <w:pStyle w:val="Heading1"/>
      </w:pPr>
      <w:r>
        <w:t>Краткое резюме</w:t>
      </w:r>
    </w:p>
    <w:p>
      <w:r>
        <w:t>В настоящем отчёте анализируется взаимосвязь между движениями цен на сырьё, в частности фьючерсами на золото (GLDRUB_TOM, Московская биржа), и ценообразованием товаров по семи розничным категориям. Цены на золото демонстрировали восходящий тренд в течение последних 30 торговых дней: текущая цена около 5093 руб./грамм превышает 30-дневную скользящую среднюю около 5040 руб./грамм, что подтверждает восходящий тренд.</w:t>
      </w:r>
    </w:p>
    <w:p>
      <w:pPr>
        <w:pStyle w:val="Heading1"/>
      </w:pPr>
      <w:r>
        <w:t>Анализ тренда цен на золото</w:t>
      </w:r>
    </w:p>
    <w:p>
      <w:r>
        <w:t>Фьючерсы на золото демонстрировали устойчивую восходящую динамику в течение анализируемого периода. 30-дневная скользящая средняя выросла, а цена закрытия большую часть периода оставалась выше скользящей средней, что указывает на сильный бычий настрой. Этот тренд предполагает продолжение давления в сторону роста материальных затрат для категорий, использующих драгоценные металлы.</w:t>
      </w:r>
    </w:p>
    <w:p>
      <w:pPr>
        <w:pStyle w:val="Heading1"/>
      </w:pPr>
      <w:r>
        <w:t>Анализ подверженности категорий</w:t>
      </w:r>
    </w:p>
    <w:p>
      <w:r>
        <w:t>Среди семи проанализированных товарных категорий наибольшую подверженность изменениям цен на сырьё имеют Часы — расчётная доля материальных затрат 30%, преимущественно из-за содержания золота и драгоценных металлов. Далее следует Бытовая техника с долей материальных затрат 18% (сталь, медь, алюминий). Остальные категории (Электроника, ТВ и домашний кинотеатр, Камеры, Аудио) имеют долю материальных затрат в диапазоне от 12% до 13%.</w:t>
      </w:r>
    </w:p>
    <w:p>
      <w:pPr>
        <w:pStyle w:val="Heading1"/>
      </w:pPr>
      <w:r>
        <w:t>Оценка влияния на маржу</w:t>
      </w:r>
    </w:p>
    <w:p>
      <w:r>
        <w:t>Наибольшее давление на маржу испытывает категория Часы. При целевой марже 35% и материальных затратах на уровне 30% от средней цены товара (60,69), рост цен на золото напрямую угрожает прибыльности. Текущая цена золота превышает порог 5000 руб./грамм, указанный в документе целевых показателей маржи как триггер для корректировки цен. Остальные категории в настоящее время соответствуют своим целевым показателям маржи, поскольку более низкая доля материальных затрат обеспечивает им больший запас при колебаниях цен на сырьё.</w:t>
      </w:r>
    </w:p>
    <w:p>
      <w:pPr>
        <w:pStyle w:val="Heading1"/>
      </w:pPr>
      <w:r>
        <w:t>Рекомендации</w:t>
      </w:r>
    </w:p>
    <w:p>
      <w:r>
        <w:t>1. Немедленно пересмотреть ценообразование для категории Часы с учётом высокой цены золота выше 5000 руб./грамм. Рассмотреть выборочное повышение цен на 3-5% для дорогих моделей часов. 2. Внедрить хеджирование цен на закупки золота для стабилизации входных затрат на следующий квартал. 3. Отслеживать индекс редкоземельных элементов (сейчас 85,3, ниже порога 100), так как он влияет на категории Электроника, Камеры и Аудио. 4. Заключить долгосрочные контракты с поставщиками для категорий с высокой долей меди (Аудио, Бытовая техника), пока цены на медь демонстрируют сезонное снижение.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