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Earnings Analysis Report</w:t>
      </w:r>
    </w:p>
    <w:p>
      <w:pPr>
        <w:pStyle w:val="Heading2"/>
      </w:pPr>
      <w:r>
        <w:t>SBER.ME Annual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Revenue_B</w:t>
            </w:r>
          </w:p>
        </w:tc>
        <w:tc>
          <w:tcPr>
            <w:tcW w:type="dxa" w:w="1728"/>
          </w:tcPr>
          <w:p>
            <w:r>
              <w:t>Net_Income_B</w:t>
            </w:r>
          </w:p>
        </w:tc>
        <w:tc>
          <w:tcPr>
            <w:tcW w:type="dxa" w:w="1728"/>
          </w:tcPr>
          <w:p>
            <w:r>
              <w:t>Gross_Profit_B</w:t>
            </w:r>
          </w:p>
        </w:tc>
        <w:tc>
          <w:tcPr>
            <w:tcW w:type="dxa" w:w="1728"/>
          </w:tcPr>
          <w:p>
            <w:r>
              <w:t>Operating_Income_B</w:t>
            </w:r>
          </w:p>
        </w:tc>
      </w:tr>
      <w:tr>
        <w:tc>
          <w:tcPr>
            <w:tcW w:type="dxa" w:w="1728"/>
          </w:tcPr>
          <w:p>
            <w:r>
              <w:t>2024-12-31</w:t>
            </w:r>
          </w:p>
        </w:tc>
        <w:tc>
          <w:tcPr>
            <w:tcW w:type="dxa" w:w="1728"/>
          </w:tcPr>
          <w:p>
            <w:r>
              <w:t>3578.25</w:t>
            </w:r>
          </w:p>
        </w:tc>
        <w:tc>
          <w:tcPr>
            <w:tcW w:type="dxa" w:w="1728"/>
          </w:tcPr>
          <w:p>
            <w:r>
              <w:t>954.34</w:t>
            </w:r>
          </w:p>
        </w:tc>
        <w:tc>
          <w:tcPr>
            <w:tcW w:type="dxa" w:w="1728"/>
          </w:tcPr>
          <w:p>
            <w:r>
              <w:t>1610.21</w:t>
            </w:r>
          </w:p>
        </w:tc>
        <w:tc>
          <w:tcPr>
            <w:tcW w:type="dxa" w:w="1728"/>
          </w:tcPr>
          <w:p>
            <w:r>
              <w:t>1192.92</w:t>
            </w:r>
          </w:p>
        </w:tc>
      </w:tr>
      <w:tr>
        <w:tc>
          <w:tcPr>
            <w:tcW w:type="dxa" w:w="1728"/>
          </w:tcPr>
          <w:p>
            <w:r>
              <w:t>2025-12-31</w:t>
            </w:r>
          </w:p>
        </w:tc>
        <w:tc>
          <w:tcPr>
            <w:tcW w:type="dxa" w:w="1728"/>
          </w:tcPr>
          <w:p>
            <w:r>
              <w:t>3889.4</w:t>
            </w:r>
          </w:p>
        </w:tc>
        <w:tc>
          <w:tcPr>
            <w:tcW w:type="dxa" w:w="1728"/>
          </w:tcPr>
          <w:p>
            <w:r>
              <w:t>1084.48</w:t>
            </w:r>
          </w:p>
        </w:tc>
        <w:tc>
          <w:tcPr>
            <w:tcW w:type="dxa" w:w="1728"/>
          </w:tcPr>
          <w:p>
            <w:r>
              <w:t>1750.23</w:t>
            </w:r>
          </w:p>
        </w:tc>
        <w:tc>
          <w:tcPr>
            <w:tcW w:type="dxa" w:w="1728"/>
          </w:tcPr>
          <w:p>
            <w:r>
              <w:t>1355.6</w:t>
            </w:r>
          </w:p>
        </w:tc>
      </w:tr>
    </w:tbl>
    <w:p>
      <w:pPr>
        <w:pStyle w:val="Heading2"/>
      </w:pPr>
      <w:r>
        <w:t>GAZP.ME Annual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Revenue_B</w:t>
            </w:r>
          </w:p>
        </w:tc>
        <w:tc>
          <w:tcPr>
            <w:tcW w:type="dxa" w:w="1728"/>
          </w:tcPr>
          <w:p>
            <w:r>
              <w:t>Net_Income_B</w:t>
            </w:r>
          </w:p>
        </w:tc>
        <w:tc>
          <w:tcPr>
            <w:tcW w:type="dxa" w:w="1728"/>
          </w:tcPr>
          <w:p>
            <w:r>
              <w:t>Gross_Profit_B</w:t>
            </w:r>
          </w:p>
        </w:tc>
        <w:tc>
          <w:tcPr>
            <w:tcW w:type="dxa" w:w="1728"/>
          </w:tcPr>
          <w:p>
            <w:r>
              <w:t>Operating_Income_B</w:t>
            </w:r>
          </w:p>
        </w:tc>
      </w:tr>
      <w:tr>
        <w:tc>
          <w:tcPr>
            <w:tcW w:type="dxa" w:w="1728"/>
          </w:tcPr>
          <w:p>
            <w:r>
              <w:t>2024-12-31</w:t>
            </w:r>
          </w:p>
        </w:tc>
        <w:tc>
          <w:tcPr>
            <w:tcW w:type="dxa" w:w="1728"/>
          </w:tcPr>
          <w:p>
            <w:r>
              <w:t>8989.02</w:t>
            </w:r>
          </w:p>
        </w:tc>
        <w:tc>
          <w:tcPr>
            <w:tcW w:type="dxa" w:w="1728"/>
          </w:tcPr>
          <w:p>
            <w:r>
              <w:t>1841.68</w:t>
            </w:r>
          </w:p>
        </w:tc>
        <w:tc>
          <w:tcPr>
            <w:tcW w:type="dxa" w:w="1728"/>
          </w:tcPr>
          <w:p>
            <w:r>
              <w:t>4045.06</w:t>
            </w:r>
          </w:p>
        </w:tc>
        <w:tc>
          <w:tcPr>
            <w:tcW w:type="dxa" w:w="1728"/>
          </w:tcPr>
          <w:p>
            <w:r>
              <w:t>2302.1</w:t>
            </w:r>
          </w:p>
        </w:tc>
      </w:tr>
      <w:tr>
        <w:tc>
          <w:tcPr>
            <w:tcW w:type="dxa" w:w="1728"/>
          </w:tcPr>
          <w:p>
            <w:r>
              <w:t>2025-12-31</w:t>
            </w:r>
          </w:p>
        </w:tc>
        <w:tc>
          <w:tcPr>
            <w:tcW w:type="dxa" w:w="1728"/>
          </w:tcPr>
          <w:p>
            <w:r>
              <w:t>9770.67</w:t>
            </w:r>
          </w:p>
        </w:tc>
        <w:tc>
          <w:tcPr>
            <w:tcW w:type="dxa" w:w="1728"/>
          </w:tcPr>
          <w:p>
            <w:r>
              <w:t>2092.82</w:t>
            </w:r>
          </w:p>
        </w:tc>
        <w:tc>
          <w:tcPr>
            <w:tcW w:type="dxa" w:w="1728"/>
          </w:tcPr>
          <w:p>
            <w:r>
              <w:t>4396.8</w:t>
            </w:r>
          </w:p>
        </w:tc>
        <w:tc>
          <w:tcPr>
            <w:tcW w:type="dxa" w:w="1728"/>
          </w:tcPr>
          <w:p>
            <w:r>
              <w:t>2616.02</w:t>
            </w:r>
          </w:p>
        </w:tc>
      </w:tr>
    </w:tbl>
    <w:p>
      <w:pPr>
        <w:pStyle w:val="Heading2"/>
      </w:pPr>
      <w:r>
        <w:t>LKOH.ME Annual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Revenue_B</w:t>
            </w:r>
          </w:p>
        </w:tc>
        <w:tc>
          <w:tcPr>
            <w:tcW w:type="dxa" w:w="1728"/>
          </w:tcPr>
          <w:p>
            <w:r>
              <w:t>Net_Income_B</w:t>
            </w:r>
          </w:p>
        </w:tc>
        <w:tc>
          <w:tcPr>
            <w:tcW w:type="dxa" w:w="1728"/>
          </w:tcPr>
          <w:p>
            <w:r>
              <w:t>Gross_Profit_B</w:t>
            </w:r>
          </w:p>
        </w:tc>
        <w:tc>
          <w:tcPr>
            <w:tcW w:type="dxa" w:w="1728"/>
          </w:tcPr>
          <w:p>
            <w:r>
              <w:t>Operating_Income_B</w:t>
            </w:r>
          </w:p>
        </w:tc>
      </w:tr>
      <w:tr>
        <w:tc>
          <w:tcPr>
            <w:tcW w:type="dxa" w:w="1728"/>
          </w:tcPr>
          <w:p>
            <w:r>
              <w:t>2024-12-31</w:t>
            </w:r>
          </w:p>
        </w:tc>
        <w:tc>
          <w:tcPr>
            <w:tcW w:type="dxa" w:w="1728"/>
          </w:tcPr>
          <w:p>
            <w:r>
              <w:t>7258.51</w:t>
            </w:r>
          </w:p>
        </w:tc>
        <w:tc>
          <w:tcPr>
            <w:tcW w:type="dxa" w:w="1728"/>
          </w:tcPr>
          <w:p>
            <w:r>
              <w:t>646.15</w:t>
            </w:r>
          </w:p>
        </w:tc>
        <w:tc>
          <w:tcPr>
            <w:tcW w:type="dxa" w:w="1728"/>
          </w:tcPr>
          <w:p>
            <w:r>
              <w:t>3266.33</w:t>
            </w:r>
          </w:p>
        </w:tc>
        <w:tc>
          <w:tcPr>
            <w:tcW w:type="dxa" w:w="1728"/>
          </w:tcPr>
          <w:p>
            <w:r>
              <w:t>807.69</w:t>
            </w:r>
          </w:p>
        </w:tc>
      </w:tr>
      <w:tr>
        <w:tc>
          <w:tcPr>
            <w:tcW w:type="dxa" w:w="1728"/>
          </w:tcPr>
          <w:p>
            <w:r>
              <w:t>2025-12-31</w:t>
            </w:r>
          </w:p>
        </w:tc>
        <w:tc>
          <w:tcPr>
            <w:tcW w:type="dxa" w:w="1728"/>
          </w:tcPr>
          <w:p>
            <w:r>
              <w:t>7889.69</w:t>
            </w:r>
          </w:p>
        </w:tc>
        <w:tc>
          <w:tcPr>
            <w:tcW w:type="dxa" w:w="1728"/>
          </w:tcPr>
          <w:p>
            <w:r>
              <w:t>734.26</w:t>
            </w:r>
          </w:p>
        </w:tc>
        <w:tc>
          <w:tcPr>
            <w:tcW w:type="dxa" w:w="1728"/>
          </w:tcPr>
          <w:p>
            <w:r>
              <w:t>3550.36</w:t>
            </w:r>
          </w:p>
        </w:tc>
        <w:tc>
          <w:tcPr>
            <w:tcW w:type="dxa" w:w="1728"/>
          </w:tcPr>
          <w:p>
            <w:r>
              <w:t>917.83</w:t>
            </w:r>
          </w:p>
        </w:tc>
      </w:tr>
    </w:tbl>
    <w:p>
      <w:r>
        <w:t>Сводка по последнему финансовому году. SBER.ME: выручка 3889.4 млрд руб., чистая прибыль 1084.48 млрд руб. за последний финансовый год. GAZP.ME: выручка 9770.67 млрд руб., чистая прибыль 2092.82 млрд руб. за последний финансовый год. LKOH.ME: выручка 7889.69 млрд руб., чистая прибыль 734.26 млрд руб. за последний финансовый год.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