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Макроэкономический инвестиционный отчёт, Q1 2026</w:t>
      </w:r>
    </w:p>
    <w:p>
      <w:pPr>
        <w:pStyle w:val="Heading1"/>
      </w:pPr>
      <w:r>
        <w:t>Макроэкономическая среда (macro)</w:t>
      </w:r>
    </w:p>
    <w:p>
      <w:r>
        <w:t>Текущая макроэкономическая среда характеризуется доходностью 10-летних гособлигаций (us_10y_yield) на уровне 4.25%, ключевой ставкой (fed_funds_rate) 5.25%, годовой инфляцией ИПЦ (cpi_yoy) 3.1%, безработицей 3.7%, ростом ВВП 2.8% и индексом волатильности (vix) 18.3. Высокие ставки и инфляционное давление создают встречный ветер для акций роста, тогда как низкая волатильность поддерживает риск-аппетит.</w:t>
      </w:r>
    </w:p>
    <w:p>
      <w:pPr>
        <w:pStyle w:val="Heading1"/>
      </w:pPr>
      <w:r>
        <w:t>Доходность портфеля (portfolio)</w:t>
      </w:r>
    </w:p>
    <w:p>
      <w:r>
        <w:t>За последнее 90-дневное окно доходности составили: Газпром (GAZP.ME) +9.25%, ЛУКОЙЛ (LKOH.ME) -1.65%, Магнит (MGNT.ME) -1.78%, МТС (MTSS.ME) -3.59%, Сбербанк (SBER.ME) -5.12%. Лучшая позиция — Газпром, худшая — Сбербанк. Средняя доходность портфеля -0.58%.</w:t>
      </w:r>
    </w:p>
    <w:p>
      <w:pPr>
        <w:pStyle w:val="Heading1"/>
      </w:pPr>
      <w:r>
        <w:t>Отраслевые комментарии (sector)</w:t>
      </w:r>
    </w:p>
    <w:p>
      <w:r>
        <w:t>Energy (Газпром, ЛУКОЙЛ): экспортная выручка нефтегазового сектора служит хеджем от инфляции. Financial Services (Сбербанк): высокая ставка поддерживает чистую процентную маржу, но повышает кредитные риски. Consumer Defensive (Магнит): стабильный потребительский спрос защищает в периоды волатильности. Communication Services (МТС): высокие ставки увеличивают стоимость обслуживания долга, но дивиденды сохраняют привлекательность.</w:t>
      </w:r>
    </w:p>
    <w:p>
      <w:pPr>
        <w:pStyle w:val="Heading1"/>
      </w:pPr>
      <w:r>
        <w:t>Инвестиционный прогноз</w:t>
      </w:r>
    </w:p>
    <w:p>
      <w:r>
        <w:t>В условиях ограничительной денежно-кредитной политики и инфляционного давления мы сохраняем умеренную склонность к риску, отдавая предпочтение экспортным энергетическим именам и защитным секторам, и продолжаем внимательно отслеживать макроиндикаторы.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