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Оценка рисков: стресс-тестирование портфеля</w:t>
      </w:r>
    </w:p>
    <w:p>
      <w:pPr>
        <w:pStyle w:val="Heading1"/>
      </w:pPr>
      <w:r>
        <w:t>Executive Summary</w:t>
      </w:r>
    </w:p>
    <w:p>
      <w:r>
        <w:t>В настоящем отчёте представлены результаты комплексного стресс-тестирования инвестиционного портфеля объёмом 100 000 000.00 руб., состоящего из шести российских акций, торгуемых на Московской бирже. Анализ выполнен для четырёх сценариев. Наихудший сценарий — Market Crash — приводит к убытку 30 000 000.00 руб. (-30.0%). Порог допустимых потерь в 25% ПРЕВЫШЕН.</w:t>
      </w:r>
    </w:p>
    <w:p>
      <w:pPr>
        <w:pStyle w:val="Heading1"/>
      </w:pPr>
      <w:r>
        <w:t>Portfolio Composition</w:t>
      </w:r>
    </w:p>
    <w:p>
      <w:r>
        <w:t>Портфель диверсифицирован по российским эмитентам из секторов финансов, нефти и газа, ритейла и телекоммуникаций. Структура распределения:</w:t>
      </w:r>
    </w:p>
    <w:p>
      <w:pPr>
        <w:pStyle w:val="ListBullet"/>
      </w:pPr>
      <w:r>
        <w:t xml:space="preserve">  GAZP.ME: 20% (20 000 000.00 руб.)</w:t>
      </w:r>
    </w:p>
    <w:p>
      <w:pPr>
        <w:pStyle w:val="ListBullet"/>
      </w:pPr>
      <w:r>
        <w:t xml:space="preserve">  LKOH.ME: 15% (15 000 000.00 руб.)</w:t>
      </w:r>
    </w:p>
    <w:p>
      <w:pPr>
        <w:pStyle w:val="ListBullet"/>
      </w:pPr>
      <w:r>
        <w:t xml:space="preserve">  MGNT.ME: 15% (15 000 000.00 руб.)</w:t>
      </w:r>
    </w:p>
    <w:p>
      <w:pPr>
        <w:pStyle w:val="ListBullet"/>
      </w:pPr>
      <w:r>
        <w:t xml:space="preserve">  MTSS.ME: 10% (10 000 000.00 руб.)</w:t>
      </w:r>
    </w:p>
    <w:p>
      <w:pPr>
        <w:pStyle w:val="ListBullet"/>
      </w:pPr>
      <w:r>
        <w:t xml:space="preserve">  SBER.ME: 25% (25 000 000.00 руб.)</w:t>
      </w:r>
    </w:p>
    <w:p>
      <w:pPr>
        <w:pStyle w:val="ListBullet"/>
      </w:pPr>
      <w:r>
        <w:t xml:space="preserve">  TCSG.ME: 15% (15 000 000.00 руб.)</w:t>
      </w:r>
    </w:p>
    <w:p>
      <w:pPr>
        <w:pStyle w:val="Heading1"/>
      </w:pPr>
      <w:r>
        <w:t>Stress Test Results</w:t>
      </w:r>
    </w:p>
    <w:p>
      <w:pPr>
        <w:pStyle w:val="Heading2"/>
      </w:pPr>
      <w:r>
        <w:t>Market Crash</w:t>
      </w:r>
    </w:p>
    <w:p>
      <w:r>
        <w:t>В сценарии Market Crash стоимость портфеля изменяется с 100 000 000.00 руб. до 70 000 000.00 руб., что соответствует прибыли/убытку -30 000 000.00 руб. (-30.00%).</w:t>
      </w:r>
    </w:p>
    <w:p>
      <w:pPr>
        <w:pStyle w:val="Heading2"/>
      </w:pPr>
      <w:r>
        <w:t>Sector Rotation</w:t>
      </w:r>
    </w:p>
    <w:p>
      <w:r>
        <w:t>В сценарии Sector Rotation стоимость портфеля изменяется с 100 000 000.00 руб. до 100 750 000.00 руб., что соответствует прибыли/убытку 750 000.00 руб. (0.75%).</w:t>
      </w:r>
    </w:p>
    <w:p>
      <w:pPr>
        <w:pStyle w:val="Heading2"/>
      </w:pPr>
      <w:r>
        <w:t>Inflation Shock</w:t>
      </w:r>
    </w:p>
    <w:p>
      <w:r>
        <w:t>В сценарии Inflation Shock стоимость портфеля изменяется с 100 000 000.00 руб. до 98 750 000.00 руб., что соответствует прибыли/убытку -1 250 000.00 руб. (-1.25%).</w:t>
      </w:r>
    </w:p>
    <w:p>
      <w:pPr>
        <w:pStyle w:val="Heading2"/>
      </w:pPr>
      <w:r>
        <w:t>Historical Replay</w:t>
      </w:r>
    </w:p>
    <w:p>
      <w:r>
        <w:t>В сценарии Historical Replay стоимость портфеля изменяется с 100 000 000.00 руб. до 95 048 711.28 руб., что соответствует прибыли/убытку -4 951 288.72 руб. (-4.95%).</w:t>
      </w:r>
    </w:p>
    <w:p>
      <w:pPr>
        <w:pStyle w:val="Heading1"/>
      </w:pPr>
      <w:r>
        <w:t>Risk Metrics Analysis</w:t>
      </w:r>
    </w:p>
    <w:p>
      <w:r>
        <w:t>Стоимость под риском, VaR (95% доверия): -2 972 596.10 руб.</w:t>
      </w:r>
    </w:p>
    <w:p>
      <w:r>
        <w:t>Максимальная историческая просадка (drawdown): -5.0%</w:t>
      </w:r>
    </w:p>
    <w:p>
      <w:r>
        <w:t>Показатель VaR (value at risk) указывает на 5%-ную вероятность месячного убытка, превышающего указанную величину. Максимальная просадка (drawdown) отражает наибольшее падение накопленной доходности портфеля от пика до впадины.</w:t>
      </w:r>
    </w:p>
    <w:p>
      <w:r>
        <w:t>Коэффициенты Шарпа по отдельным акциям (годовые, безрисковая ставка 5%):</w:t>
      </w:r>
    </w:p>
    <w:p>
      <w:pPr>
        <w:pStyle w:val="ListBullet"/>
      </w:pPr>
      <w:r>
        <w:t xml:space="preserve">  GAZP.ME: 2.05</w:t>
      </w:r>
    </w:p>
    <w:p>
      <w:pPr>
        <w:pStyle w:val="ListBullet"/>
      </w:pPr>
      <w:r>
        <w:t xml:space="preserve">  LKOH.ME: -0.734</w:t>
      </w:r>
    </w:p>
    <w:p>
      <w:pPr>
        <w:pStyle w:val="ListBullet"/>
      </w:pPr>
      <w:r>
        <w:t xml:space="preserve">  MGNT.ME: -1.739</w:t>
      </w:r>
    </w:p>
    <w:p>
      <w:pPr>
        <w:pStyle w:val="ListBullet"/>
      </w:pPr>
      <w:r>
        <w:t xml:space="preserve">  MTSS.ME: -1.28</w:t>
      </w:r>
    </w:p>
    <w:p>
      <w:pPr>
        <w:pStyle w:val="ListBullet"/>
      </w:pPr>
      <w:r>
        <w:t xml:space="preserve">  SBER.ME: -0.895</w:t>
      </w:r>
    </w:p>
    <w:p>
      <w:pPr>
        <w:pStyle w:val="ListBullet"/>
      </w:pPr>
      <w:r>
        <w:t xml:space="preserve">  TCSG.ME: -1.71</w:t>
      </w:r>
    </w:p>
    <w:p>
      <w:pPr>
        <w:pStyle w:val="Heading1"/>
      </w:pPr>
      <w:r>
        <w:t>Scenario Comparison</w:t>
      </w:r>
    </w:p>
    <w:p>
      <w:r>
        <w:t>Среди четырёх стресс-сценариев наибольший риск несёт сценарий Market Crash с убытком 30 000 000.00 руб.. Наилучший результат показывает сценарий Sector Rotation с финансовым результатом 750 000.00 руб..</w:t>
      </w:r>
    </w:p>
    <w:p>
      <w:r>
        <w:t>Порог допустимых потерь в 25% ПРЕВЫШЕН в сценарии Market Crash, что требует немедленного внимания инвестиционного комитета.</w:t>
      </w:r>
    </w:p>
    <w:p>
      <w:pPr>
        <w:pStyle w:val="Heading1"/>
      </w:pPr>
      <w:r>
        <w:t>Recommendations</w:t>
      </w:r>
    </w:p>
    <w:p>
      <w:r>
        <w:t>1. В сценарии Market Crash портфель превышает порог потерь 25%. Рекомендуется рассмотреть хеджирование и снижение бета-риска.</w:t>
      </w:r>
    </w:p>
    <w:p>
      <w:r>
        <w:t>2. Снизить концентрацию в наиболее волатильных бумагах для уменьшения корреляционного риска.</w:t>
      </w:r>
    </w:p>
    <w:p>
      <w:r>
        <w:t>3. Сценарий Historical Replay показывает потенциальный убыток 4 951 288.72 руб., что говорит о необходимости стресс-резерва ликвидности.</w:t>
      </w:r>
    </w:p>
    <w:p>
      <w:r>
        <w:t>4. Проводить ежеквартальное стресс-тестирование для мониторинга динамики риска и корректировки распределения активов.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