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Анализ котировок российских акций (MOEX)</w:t>
      </w:r>
    </w:p>
    <w:p>
      <w:r>
        <w:t>Настоящий анализ рынка охватывает 6 акций Московской биржи (MOEX) за доступный исторический период. Все показатели рассчитаны в российских рублях (RUB).</w:t>
      </w:r>
    </w:p>
    <w:p>
      <w:r>
        <w:t>Наиболее волатильной акцией по итогам анализа является MGNT.ME: она показала максимальное стандартное отклонение цен закрытия, что отражает повышенный рыночный риск. Наименее волатильной акцией оказалась SBER.ME с минимальным стандартным отклонением цен закрытия, демонстрируя более стабильную динамику котировок.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