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отраслевого распределения акций (MOEX)</w:t>
      </w:r>
    </w:p>
    <w:p>
      <w:r>
        <w:t>В отчёте проанализированы наши отслеживаемые российские акции, торгуемые на Московской бирже (SBER.ME, GAZP.ME, LKOH.ME, TCSG.ME, MGNT.ME, MTSS.ME), сгруппированные по секторам. Всего выделено 5 секторов, охватывающих 6 эмитентов.</w:t>
      </w:r>
    </w:p>
    <w:p>
      <w:pPr>
        <w:pStyle w:val="Heading1"/>
      </w:pPr>
      <w:r>
        <w:t>Отраслевое распределение</w:t>
      </w:r>
    </w:p>
    <w:p>
      <w:r>
        <w:t>Крупнейшим сектором по средней рыночной капитализации является Energy (нефтегазовый сектор), куда входят GAZP.ME и LKOH.ME со средней капитализацией около 3612.6 млрд руб. Сектор Financial Services представлен Сбербанком (SBER.ME) с капитализацией порядка 2877.54 млрд руб. Секторы Communication Services (MTSS.ME) и Consumer Defensive (MGNT.ME) заметно меньше по масштабу. Акция TCSG.ME отнесена к группе Unknown из-за отсутствия указанного сектора в данных.</w:t>
      </w:r>
    </w:p>
    <w:p>
      <w:pPr>
        <w:pStyle w:val="Heading1"/>
      </w:pPr>
      <w:r>
        <w:t>Различия в оценке</w:t>
      </w:r>
    </w:p>
    <w:p>
      <w:r>
        <w:t>Различия в оценке между секторами значительны. Нефтегазовые и финансовые эмитенты торгуются с очень низкими коэффициентами P/E (около 2.6-2.9), что характерно для российского рынка и отражает высокую дивидендную доходность и страновой дисконт. Потребительский (Consumer Defensive, P/E ~9.08) и телекоммуникационный (Communication Services, P/E ~8.84) секторы оцениваются дороже относительно прибыли. Таким образом, крупнейшие по капитализации сектора одновременно являются наиболее дёшево оценёнными по мультипликатору прибыли.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