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сравнения акций, март 2026</w:t>
      </w:r>
    </w:p>
    <w:p>
      <w:r>
        <w:t>Сравнительный анализ динамики трёх российских эмитентов на Московской бирже (MOEX) за последний месяц торгов. Все цены в рублях (RUB).</w:t>
      </w:r>
    </w:p>
    <w:p>
      <w:r>
        <w:t>Сбербанк (SBER): акция показала умеренное снижение за период; тренд преимущественно нисходящий с локальной волатильностью.</w:t>
      </w:r>
    </w:p>
    <w:p>
      <w:r>
        <w:t>Газпром (GAZP): котировки демонстрировали боковую динамику с небольшим отрицательным итогом за месяц.</w:t>
      </w:r>
    </w:p>
    <w:p>
      <w:r>
        <w:t>Лукойл (LKOH): наиболее дорогая бумага в выборке; динамика близка к нейтральной при заметной абсолютной волатильности.</w:t>
      </w:r>
    </w:p>
    <w:p>
      <w:r>
        <w:t>Вывод: за рассмотренный период все три эмитента показали близкие к нулю изменения; лучшую и худшую динамику следует определять по фактическому Return_Pct в отчёте Stock_Comparison_Report.xlsx.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