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Comparison Report</w:t>
      </w:r>
    </w:p>
    <w:p>
      <w:pPr>
        <w:pStyle w:val="Heading1"/>
      </w:pPr>
      <w:r>
        <w:t>Stock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Company_Name</w:t>
            </w:r>
          </w:p>
        </w:tc>
        <w:tc>
          <w:tcPr>
            <w:tcW w:type="dxa" w:w="1728"/>
          </w:tcPr>
          <w:p>
            <w:r>
              <w:t>Current_Price</w:t>
            </w:r>
          </w:p>
        </w:tc>
        <w:tc>
          <w:tcPr>
            <w:tcW w:type="dxa" w:w="1728"/>
          </w:tcPr>
          <w:p>
            <w:r>
              <w:t>Analyst_Recommendation</w:t>
            </w:r>
          </w:p>
        </w:tc>
        <w:tc>
          <w:tcPr>
            <w:tcW w:type="dxa" w:w="1728"/>
          </w:tcPr>
          <w:p>
            <w:r>
              <w:t>Sector</w:t>
            </w:r>
          </w:p>
        </w:tc>
      </w:tr>
      <w:tr>
        <w:tc>
          <w:tcPr>
            <w:tcW w:type="dxa" w:w="1728"/>
          </w:tcPr>
          <w:p>
            <w:r>
              <w:t>SBER.ME</w:t>
            </w:r>
          </w:p>
        </w:tc>
        <w:tc>
          <w:tcPr>
            <w:tcW w:type="dxa" w:w="1728"/>
          </w:tcPr>
          <w:p>
            <w:r>
              <w:t>ПАО Сбербанк</w:t>
            </w:r>
          </w:p>
        </w:tc>
        <w:tc>
          <w:tcPr>
            <w:tcW w:type="dxa" w:w="1728"/>
          </w:tcPr>
          <w:p>
            <w:r>
              <w:t>120.82 RUB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Financial Services</w:t>
            </w:r>
          </w:p>
        </w:tc>
      </w:tr>
      <w:tr>
        <w:tc>
          <w:tcPr>
            <w:tcW w:type="dxa" w:w="1728"/>
          </w:tcPr>
          <w:p>
            <w:r>
              <w:t>GAZP.ME</w:t>
            </w:r>
          </w:p>
        </w:tc>
        <w:tc>
          <w:tcPr>
            <w:tcW w:type="dxa" w:w="1728"/>
          </w:tcPr>
          <w:p>
            <w:r>
              <w:t>ПАО Газпром</w:t>
            </w:r>
          </w:p>
        </w:tc>
        <w:tc>
          <w:tcPr>
            <w:tcW w:type="dxa" w:w="1728"/>
          </w:tcPr>
          <w:p>
            <w:r>
              <w:t>208.63 RUB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</w:tr>
      <w:tr>
        <w:tc>
          <w:tcPr>
            <w:tcW w:type="dxa" w:w="1728"/>
          </w:tcPr>
          <w:p>
            <w:r>
              <w:t>LKOH.ME</w:t>
            </w:r>
          </w:p>
        </w:tc>
        <w:tc>
          <w:tcPr>
            <w:tcW w:type="dxa" w:w="1728"/>
          </w:tcPr>
          <w:p>
            <w:r>
              <w:t>ПАО ЛУКОЙЛ</w:t>
            </w:r>
          </w:p>
        </w:tc>
        <w:tc>
          <w:tcPr>
            <w:tcW w:type="dxa" w:w="1728"/>
          </w:tcPr>
          <w:p>
            <w:r>
              <w:t>3727.10 RUB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</w:tr>
      <w:tr>
        <w:tc>
          <w:tcPr>
            <w:tcW w:type="dxa" w:w="1728"/>
          </w:tcPr>
          <w:p>
            <w:r>
              <w:t>TCSG.ME</w:t>
            </w:r>
          </w:p>
        </w:tc>
        <w:tc>
          <w:tcPr>
            <w:tcW w:type="dxa" w:w="1728"/>
          </w:tcPr>
          <w:p>
            <w:r>
              <w:t>МКПАО Т-Технологии</w:t>
            </w:r>
          </w:p>
        </w:tc>
        <w:tc>
          <w:tcPr>
            <w:tcW w:type="dxa" w:w="1728"/>
          </w:tcPr>
          <w:p>
            <w:r>
              <w:t>2013.0 RUB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MTSS.ME</w:t>
            </w:r>
          </w:p>
        </w:tc>
        <w:tc>
          <w:tcPr>
            <w:tcW w:type="dxa" w:w="1728"/>
          </w:tcPr>
          <w:p>
            <w:r>
              <w:t>ПАО МТС</w:t>
            </w:r>
          </w:p>
        </w:tc>
        <w:tc>
          <w:tcPr>
            <w:tcW w:type="dxa" w:w="1728"/>
          </w:tcPr>
          <w:p>
            <w:r>
              <w:t>255.06 RUB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Communication Services</w:t>
            </w:r>
          </w:p>
        </w:tc>
      </w:tr>
    </w:tbl>
    <w:p>
      <w:pPr>
        <w:pStyle w:val="Heading1"/>
      </w:pPr>
      <w:r>
        <w:t>Analysis</w:t>
      </w:r>
    </w:p>
    <w:p>
      <w:r>
        <w:t>Рекомендации аналитиков для всех пяти акций источник данных вернул как 'none'. Портфель диверсифицирован по секторам: Financial Services (SBER), Energy (GAZP, LKOH) и Communication Services (MTSS); сектор TCSG источником не указан. Все цены приведены в рублях (RUB).</w:t>
      </w:r>
    </w:p>
    <w:p>
      <w:pPr>
        <w:pStyle w:val="Heading1"/>
      </w:pPr>
      <w:r>
        <w:t>Portfolio Strategy</w:t>
      </w:r>
    </w:p>
    <w:p>
      <w:r>
        <w:t>Поскольку явных рекомендаций аналитиков нет, стратегия строится на отраслевой диверсификации между финансовым, энергетическим и телеком-секторами Московской биржи.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