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 2026 Earnings Season Preview Report</w:t>
      </w:r>
    </w:p>
    <w:p>
      <w:r>
        <w:t>Настоящий отчёт представляет обзор сезона отчётности по пяти крупным акциям Московской биржи: SBER.ME, GAZP.ME, LKOH.ME, MGNT.ME и MTSS.ME. По каждой компании сопоставлены консенсус-оценки аналитиков и фактические финансовые показатели для выявления расхождений ожиданий (earnings).</w:t>
      </w:r>
    </w:p>
    <w:p>
      <w:pPr>
        <w:pStyle w:val="Heading2"/>
      </w:pPr>
      <w:r>
        <w:t>ПАО Сбербанк (SBER.ME)</w:t>
      </w:r>
    </w:p>
    <w:p>
      <w:r>
        <w:t>Сектор: Financial Services</w:t>
      </w:r>
    </w:p>
    <w:p>
      <w:r>
        <w:t>Текущая цена: 133.3 ₽</w:t>
      </w:r>
    </w:p>
    <w:p>
      <w:r>
        <w:t>Скользящий EPS: 50.4 ₽ | Консенсус-оценка: 54.0 ₽ | Расхождение (Gap): 3.6 ₽</w:t>
      </w:r>
    </w:p>
    <w:p>
      <w:r>
        <w:t>Выручка: 3889.4 млрд ₽ | Консенсус выручки: 3950.0 млрд ₽</w:t>
      </w:r>
    </w:p>
    <w:p>
      <w:r>
        <w:t>История результатов: превышение прогноза в 3 из последних 4 кварталов</w:t>
      </w:r>
    </w:p>
    <w:p>
      <w:r>
        <w:t>Прогноз (Outlook): Стабильно превышает прогнозы, позитивная динамика.</w:t>
      </w:r>
    </w:p>
    <w:p>
      <w:pPr>
        <w:pStyle w:val="Heading2"/>
      </w:pPr>
      <w:r>
        <w:t>ПАО Газпром (GAZP.ME)</w:t>
      </w:r>
    </w:p>
    <w:p>
      <w:r>
        <w:t>Сектор: Energy</w:t>
      </w:r>
    </w:p>
    <w:p>
      <w:r>
        <w:t>Текущая цена: 198.0 ₽</w:t>
      </w:r>
    </w:p>
    <w:p>
      <w:r>
        <w:t>Скользящий EPS: 88.51 ₽ | Консенсус-оценка: 95.0 ₽ | Расхождение (Gap): 6.49 ₽</w:t>
      </w:r>
    </w:p>
    <w:p>
      <w:r>
        <w:t>Выручка: 9770.67 млрд ₽ | Консенсус выручки: 10100.0 млрд ₽</w:t>
      </w:r>
    </w:p>
    <w:p>
      <w:r>
        <w:t>История результатов: превышение прогноза в 2 из последних 4 кварталов</w:t>
      </w:r>
    </w:p>
    <w:p>
      <w:r>
        <w:t>Прогноз (Outlook): Смешанные результаты, осторожный взгляд перед отчётностью.</w:t>
      </w:r>
    </w:p>
    <w:p>
      <w:pPr>
        <w:pStyle w:val="Heading2"/>
      </w:pPr>
      <w:r>
        <w:t>ПАО ЛУКОЙЛ (LKOH.ME)</w:t>
      </w:r>
    </w:p>
    <w:p>
      <w:r>
        <w:t>Сектор: Energy</w:t>
      </w:r>
    </w:p>
    <w:p>
      <w:r>
        <w:t>Текущая цена: 3911.0 ₽</w:t>
      </w:r>
    </w:p>
    <w:p>
      <w:r>
        <w:t>Скользящий EPS: 1129.04 ₽ | Консенсус-оценка: 1180.0 ₽ | Расхождение (Gap): 50.96 ₽</w:t>
      </w:r>
    </w:p>
    <w:p>
      <w:r>
        <w:t>Выручка: 7889.69 млрд ₽ | Консенсус выручки: 8000.0 млрд ₽</w:t>
      </w:r>
    </w:p>
    <w:p>
      <w:r>
        <w:t>История результатов: превышение прогноза в 3 из последних 4 кварталов</w:t>
      </w:r>
    </w:p>
    <w:p>
      <w:r>
        <w:t>Прогноз (Outlook): Наибольшее расхождение EPS, высокие ожидания рынка.</w:t>
      </w:r>
    </w:p>
    <w:p>
      <w:pPr>
        <w:pStyle w:val="Heading2"/>
      </w:pPr>
      <w:r>
        <w:t>ПАО Магнит (MGNT.ME)</w:t>
      </w:r>
    </w:p>
    <w:p>
      <w:r>
        <w:t>Сектор: Consumer Defensive</w:t>
      </w:r>
    </w:p>
    <w:p>
      <w:r>
        <w:t>Текущая цена: 4439.0 ₽</w:t>
      </w:r>
    </w:p>
    <w:p>
      <w:r>
        <w:t>Скользящий EPS: 488.99 ₽ | Консенсус-оценка: 520.0 ₽ | Расхождение (Gap): 31.01 ₽</w:t>
      </w:r>
    </w:p>
    <w:p>
      <w:r>
        <w:t>Выручка: 3509.23 млрд ₽ | Консенсус выручки: 3600.0 млрд ₽</w:t>
      </w:r>
    </w:p>
    <w:p>
      <w:r>
        <w:t>История результатов: превышение прогноза в 4 из последних 4 кварталов</w:t>
      </w:r>
    </w:p>
    <w:p>
      <w:r>
        <w:t>Прогноз (Outlook): Стабильно превышает прогнозы, позитивная динамика.</w:t>
      </w:r>
    </w:p>
    <w:p>
      <w:pPr>
        <w:pStyle w:val="Heading2"/>
      </w:pPr>
      <w:r>
        <w:t>ПАО МТС (MTSS.ME)</w:t>
      </w:r>
    </w:p>
    <w:p>
      <w:r>
        <w:t>Сектор: Communication Services</w:t>
      </w:r>
    </w:p>
    <w:p>
      <w:r>
        <w:t>Текущая цена: 275.05 ₽</w:t>
      </w:r>
    </w:p>
    <w:p>
      <w:r>
        <w:t>Скользящий EPS: 31.12 ₽ | Консенсус-оценка: 34.0 ₽ | Расхождение (Gap): 2.88 ₽</w:t>
      </w:r>
    </w:p>
    <w:p>
      <w:r>
        <w:t>Выручка: 807.19 млрд ₽ | Консенсус выручки: 830.0 млрд ₽</w:t>
      </w:r>
    </w:p>
    <w:p>
      <w:r>
        <w:t>История результатов: превышение прогноза в 2 из последних 4 кварталов</w:t>
      </w:r>
    </w:p>
    <w:p>
      <w:r>
        <w:t>Прогноз (Outlook): Смешанные результаты, осторожный взгляд перед отчётностью.</w:t>
      </w:r>
    </w:p>
    <w:p>
      <w:pPr>
        <w:pStyle w:val="Heading2"/>
      </w:pPr>
      <w:r>
        <w:t>Market Commentary</w:t>
      </w:r>
    </w:p>
    <w:p>
      <w:r>
        <w:t>Предстоящий сезон отчётности (earnings) характеризуется повышенными ожиданиями в нефтегазовом и финансовом секторах. Наибольшее расхождение EPS между консенсус-оценкой и фактическим значением наблюдается по LKOH.ME. Общее настроение рынка умеренно позитивное при сохранении неопределённости вокруг сырьевых цен.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