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Отраслевой анализ портфеля MOEX</w:t>
      </w:r>
    </w:p>
    <w:p>
      <w:pPr>
        <w:pStyle w:val="Heading1"/>
      </w:pPr>
      <w:r>
        <w:t>Краткое резюме (Executive Summary)</w:t>
      </w:r>
    </w:p>
    <w:p>
      <w:r>
        <w:t>Проанализированы акции портфеля Московской биржи. Средний потенциал роста (Avg_Upside) составляет 49.12%.</w:t>
      </w:r>
    </w:p>
    <w:p>
      <w:pPr>
        <w:pStyle w:val="Heading1"/>
      </w:pPr>
      <w:r>
        <w:t>Ключевые выводы (Key Findings)</w:t>
      </w:r>
    </w:p>
    <w:p>
      <w:r>
        <w:t>Наибольший потенциал роста показывает тикер SBER.ME. Целевые цены рассчитаны на основе эталонных отраслевых мультипликаторов Benchmark_PE.</w:t>
      </w:r>
    </w:p>
    <w:p>
      <w:pPr>
        <w:pStyle w:val="Heading1"/>
      </w:pPr>
      <w:r>
        <w:t>Рекомендации (Recommendations)</w:t>
      </w:r>
    </w:p>
    <w:p>
      <w:r>
        <w:t>Приоритетная рекомендация: покупать SBER.ME; держать MTSS.ME.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