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Logistics</w:t>
      </w:r>
    </w:p>
    <w:p>
      <w:r>
        <w:t>Дата поездки: 10 марта 2026 года. Поезд 752А (Сапсан) отправляется со станции Москва-Ленинградская в 06:50 и прибывает на Санкт-Петербург-Главный в 10:50 (время в пути около 240 минут). Цена места бизнес-класса: 14000 RUB, эконом+: 7500 RUB.</w:t>
      </w:r>
    </w:p>
    <w:p>
      <w:pPr>
        <w:pStyle w:val="Heading1"/>
      </w:pPr>
      <w:r>
        <w:t>Customer Visit Priority List</w:t>
      </w:r>
    </w:p>
    <w:p>
      <w:r>
        <w:t>1. Артём Борисов — 15 заказов, общая сумма 7 088.92 RUB. 2. Ной Григорьев — 8 заказов, общая сумма 6 133.40 RUB. 3. Изабелла Смирнов — 9 заказов, общая сумма 5 367.22 RUB. 4. Дарья Жуков — 11 заказов, общая сумма 5 214.32 RUB. 5. Максим Григорьев — 9 заказов, общая сумма 4 946.20 RUB.</w:t>
      </w:r>
    </w:p>
    <w:p>
      <w:pPr>
        <w:pStyle w:val="Heading1"/>
      </w:pPr>
      <w:r>
        <w:t>Meeting Objectives</w:t>
      </w:r>
    </w:p>
    <w:p>
      <w:r>
        <w:t>Укрепить отношения с ключевыми клиентами региона Северная Америка. Представить новые продукты и предложения. Получить подтверждения по продлению контрактов на следующий финансовый квартал.</w:t>
      </w:r>
    </w:p>
    <w:p>
      <w:pPr>
        <w:pStyle w:val="Heading1"/>
      </w:pPr>
      <w:r>
        <w:t>Follow-up Actions</w:t>
      </w:r>
    </w:p>
    <w:p>
      <w:r>
        <w:t>Разослать итоги встреч в течение 48 часов после каждого визита. Обновить записи в CRM с новой контактной информацией и возможностями. Запланировать повторные звонки для планирования на Q2 в течение двух недель.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