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мерах по снижению риска оттока</w:t>
      </w:r>
    </w:p>
    <w:p>
      <w:r>
        <w:t>Отдел кадров</w:t>
      </w:r>
    </w:p>
    <w:p>
      <w:r>
        <w:t>Дата: март 2026 г.</w:t>
      </w:r>
    </w:p>
    <w:p>
      <w:pPr>
        <w:pStyle w:val="Heading1"/>
      </w:pPr>
      <w:r>
        <w:t>Краткое резюме</w:t>
      </w:r>
    </w:p>
    <w:p>
      <w:r>
        <w:t>В настоящем отчёте представлены результаты комплексного анализа риска оттока сотрудников по всем семи подразделениям. На основе методологии оценки риска из регламента удержания персонала каждый сотрудник был отнесён к одной из категорий риска: Low, Medium или High.</w:t>
      </w:r>
    </w:p>
    <w:p>
      <w:r>
        <w:t>Анализ выявил 4 650 сотрудников с высоким риском (High), 14 107 со средним (Medium) и 31 243 с низким (Low). Общий рекомендуемый бюджет на меры удержания составляет 51 464 000 ₽.</w:t>
      </w:r>
    </w:p>
    <w:p>
      <w:pPr>
        <w:pStyle w:val="Heading1"/>
      </w:pPr>
      <w:r>
        <w:t>Анализ по подразделениям</w:t>
      </w:r>
    </w:p>
    <w:p>
      <w:pPr>
        <w:pStyle w:val="Heading2"/>
      </w:pPr>
      <w:r>
        <w:t>Инженерия</w:t>
      </w:r>
    </w:p>
    <w:p>
      <w:r>
        <w:t>В подразделении «Инженерия» работает 7 096 сотрудников. Из них 674 (9.5%) отнесены к категории High, 1 946 — к Medium и 4 476 — к Low.</w:t>
      </w:r>
    </w:p>
    <w:p>
      <w:r>
        <w:t>Высокий риск (High): 674 сотрудников со средней удовлетворённостью 2.8, средней результативностью 2.8 и средним ростом зарплаты 8.9%.</w:t>
      </w:r>
    </w:p>
    <w:p>
      <w:r>
        <w:t>Низкий риск (Low): 4 476 сотрудников со средней удовлетворённостью 8.4, средней результативностью 3.3 и средним ростом зарплаты 8.9%.</w:t>
      </w:r>
    </w:p>
    <w:p>
      <w:r>
        <w:t>Средний риск (Medium): 1 946 сотрудников со средней удовлетворённостью 3.7, средней результативностью 3.2 и средним ростом зарплаты 8.9%.</w:t>
      </w:r>
    </w:p>
    <w:p>
      <w:r>
        <w:t>Главный фактор риска для подразделения «Инженерия» — satisfaction со средним вкладом 1.1 балла на сотрудника. Рекомендуемые меры: запустить программу вовлечённости сотрудников с ежемесячными пульс-опросами.</w:t>
      </w:r>
    </w:p>
    <w:p>
      <w:r>
        <w:t>Рекомендуемый бюджет мер для «Инженерия»: 7 262 000 ₽.</w:t>
      </w:r>
    </w:p>
    <w:p>
      <w:pPr>
        <w:pStyle w:val="Heading2"/>
      </w:pPr>
      <w:r>
        <w:t>Кадры</w:t>
      </w:r>
    </w:p>
    <w:p>
      <w:r>
        <w:t>В подразделении «Кадры» работает 7 077 сотрудников. Из них 649 (9.2%) отнесены к категории High, 2 031 — к Medium и 4 397 — к Low.</w:t>
      </w:r>
    </w:p>
    <w:p>
      <w:r>
        <w:t>Высокий риск (High): 649 сотрудников со средней удовлетворённостью 2.8, средней результативностью 2.9 и средним ростом зарплаты 9.1%.</w:t>
      </w:r>
    </w:p>
    <w:p>
      <w:r>
        <w:t>Низкий риск (Low): 4 397 сотрудников со средней удовлетворённостью 8.5, средней результативностью 3.3 и средним ростом зарплаты 8.9%.</w:t>
      </w:r>
    </w:p>
    <w:p>
      <w:r>
        <w:t>Средний риск (Medium): 2 031 сотрудников со средней удовлетворённостью 3.6, средней результативностью 3.2 и средним ростом зарплаты 8.8%.</w:t>
      </w:r>
    </w:p>
    <w:p>
      <w:r>
        <w:t>Главный фактор риска для подразделения «Кадры» — satisfaction со средним вкладом 1.2 балла на сотрудника. Рекомендуемые меры: запустить программу вовлечённости сотрудников с ежемесячными пульс-опросами.</w:t>
      </w:r>
    </w:p>
    <w:p>
      <w:r>
        <w:t>Рекомендуемый бюджет мер для «Кадры»: 7 307 000 ₽.</w:t>
      </w:r>
    </w:p>
    <w:p>
      <w:pPr>
        <w:pStyle w:val="Heading2"/>
      </w:pPr>
      <w:r>
        <w:t>НИОКР</w:t>
      </w:r>
    </w:p>
    <w:p>
      <w:r>
        <w:t>В подразделении «НИОКР» работает 7 083 сотрудников. Из них 675 (9.5%) отнесены к категории High, 2 020 — к Medium и 4 388 — к Low.</w:t>
      </w:r>
    </w:p>
    <w:p>
      <w:r>
        <w:t>Высокий риск (High): 675 сотрудников со средней удовлетворённостью 2.8, средней результативностью 2.9 и средним ростом зарплаты 9.0%.</w:t>
      </w:r>
    </w:p>
    <w:p>
      <w:r>
        <w:t>Низкий риск (Low): 4 388 сотрудников со средней удовлетворённостью 8.4, средней результативностью 3.3 и средним ростом зарплаты 9.0%.</w:t>
      </w:r>
    </w:p>
    <w:p>
      <w:r>
        <w:t>Средний риск (Medium): 2 020 сотрудников со средней удовлетворённостью 3.6, средней результативностью 3.2 и средним ростом зарплаты 9.0%.</w:t>
      </w:r>
    </w:p>
    <w:p>
      <w:r>
        <w:t>Главный фактор риска для подразделения «НИОКР» — satisfaction со средним вкладом 1.2 балла на сотрудника. Рекомендуемые меры: запустить программу вовлечённости сотрудников с ежемесячными пульс-опросами.</w:t>
      </w:r>
    </w:p>
    <w:p>
      <w:r>
        <w:t>Рекомендуемый бюджет мер для «НИОКР»: 7 415 000 ₽.</w:t>
      </w:r>
    </w:p>
    <w:p>
      <w:pPr>
        <w:pStyle w:val="Heading2"/>
      </w:pPr>
      <w:r>
        <w:t>Операции</w:t>
      </w:r>
    </w:p>
    <w:p>
      <w:r>
        <w:t>В подразделении «Операции» работает 7 120 сотрудников. Из них 658 (9.2%) отнесены к категории High, 2 029 — к Medium и 4 433 — к Low.</w:t>
      </w:r>
    </w:p>
    <w:p>
      <w:r>
        <w:t>Высокий риск (High): 658 сотрудников со средней удовлетворённостью 2.8, средней результативностью 2.9 и средним ростом зарплаты 8.8%.</w:t>
      </w:r>
    </w:p>
    <w:p>
      <w:r>
        <w:t>Низкий риск (Low): 4 433 сотрудников со средней удовлетворённостью 8.4, средней результативностью 3.2 и средним ростом зарплаты 9.1%.</w:t>
      </w:r>
    </w:p>
    <w:p>
      <w:r>
        <w:t>Средний риск (Medium): 2 029 сотрудников со средней удовлетворённостью 3.6, средней результативностью 3.1 и средним ростом зарплаты 8.8%.</w:t>
      </w:r>
    </w:p>
    <w:p>
      <w:r>
        <w:t>Главный фактор риска для подразделения «Операции» — satisfaction со средним вкладом 1.2 балла на сотрудника. Рекомендуемые меры: запустить программу вовлечённости сотрудников с ежемесячными пульс-опросами.</w:t>
      </w:r>
    </w:p>
    <w:p>
      <w:r>
        <w:t>Рекомендуемый бюджет мер для «Операции»: 7 348 000 ₽.</w:t>
      </w:r>
    </w:p>
    <w:p>
      <w:pPr>
        <w:pStyle w:val="Heading2"/>
      </w:pPr>
      <w:r>
        <w:t>Поддержка</w:t>
      </w:r>
    </w:p>
    <w:p>
      <w:r>
        <w:t>В подразделении «Поддержка» работает 7 244 сотрудников. Из них 663 (9.2%) отнесены к категории High, 2 060 — к Medium и 4 521 — к Low.</w:t>
      </w:r>
    </w:p>
    <w:p>
      <w:r>
        <w:t>Высокий риск (High): 663 сотрудников со средней удовлетворённостью 2.9, средней результативностью 2.8 и средним ростом зарплаты 9.0%.</w:t>
      </w:r>
    </w:p>
    <w:p>
      <w:r>
        <w:t>Низкий риск (Low): 4 521 сотрудников со средней удовлетворённостью 8.4, средней результативностью 3.3 и средним ростом зарплаты 9.0%.</w:t>
      </w:r>
    </w:p>
    <w:p>
      <w:r>
        <w:t>Средний риск (Medium): 2 060 сотрудников со средней удовлетворённостью 3.6, средней результативностью 3.2 и средним ростом зарплаты 9.0%.</w:t>
      </w:r>
    </w:p>
    <w:p>
      <w:r>
        <w:t>Главный фактор риска для подразделения «Поддержка» — satisfaction со средним вкладом 1.2 балла на сотрудника. Рекомендуемые меры: запустить программу вовлечённости сотрудников с ежемесячными пульс-опросами.</w:t>
      </w:r>
    </w:p>
    <w:p>
      <w:r>
        <w:t>Рекомендуемый бюджет мер для «Поддержка»: 7 435 000 ₽.</w:t>
      </w:r>
    </w:p>
    <w:p>
      <w:pPr>
        <w:pStyle w:val="Heading2"/>
      </w:pPr>
      <w:r>
        <w:t>Продажи</w:t>
      </w:r>
    </w:p>
    <w:p>
      <w:r>
        <w:t>В подразделении «Продажи» работает 7 232 сотрудников. Из них 701 (9.7%) отнесены к категории High, 2 034 — к Medium и 4 497 — к Low.</w:t>
      </w:r>
    </w:p>
    <w:p>
      <w:r>
        <w:t>Высокий риск (High): 701 сотрудников со средней удовлетворённостью 2.9, средней результативностью 2.9 и средним ростом зарплаты 8.7%.</w:t>
      </w:r>
    </w:p>
    <w:p>
      <w:r>
        <w:t>Низкий риск (Low): 4 497 сотрудников со средней удовлетворённостью 8.5, средней результативностью 3.2 и средним ростом зарплаты 9.0%.</w:t>
      </w:r>
    </w:p>
    <w:p>
      <w:r>
        <w:t>Средний риск (Medium): 2 034 сотрудников со средней удовлетворённостью 3.6, средней результативностью 3.2 и средним ростом зарплаты 8.8%.</w:t>
      </w:r>
    </w:p>
    <w:p>
      <w:r>
        <w:t>Главный фактор риска для подразделения «Продажи» — satisfaction со средним вкладом 1.2 балла на сотрудника. Рекомендуемые меры: запустить программу вовлечённости сотрудников с ежемесячными пульс-опросами.</w:t>
      </w:r>
    </w:p>
    <w:p>
      <w:r>
        <w:t>Рекомендуемый бюджет мер для «Продажи»: 7 573 000 ₽.</w:t>
      </w:r>
    </w:p>
    <w:p>
      <w:pPr>
        <w:pStyle w:val="Heading2"/>
      </w:pPr>
      <w:r>
        <w:t>Финансы</w:t>
      </w:r>
    </w:p>
    <w:p>
      <w:r>
        <w:t>В подразделении «Финансы» работает 7 148 сотрудников. Из них 630 (8.8%) отнесены к категории High, 1 987 — к Medium и 4 531 — к Low.</w:t>
      </w:r>
    </w:p>
    <w:p>
      <w:r>
        <w:t>Высокий риск (High): 630 сотрудников со средней удовлетворённостью 2.8, средней результативностью 2.9 и средним ростом зарплаты 8.9%.</w:t>
      </w:r>
    </w:p>
    <w:p>
      <w:r>
        <w:t>Низкий риск (Low): 4 531 сотрудников со средней удовлетворённостью 8.4, средней результативностью 3.3 и средним ростом зарплаты 9.0%.</w:t>
      </w:r>
    </w:p>
    <w:p>
      <w:r>
        <w:t>Средний риск (Medium): 1 987 сотрудников со средней удовлетворённостью 3.6, средней результативностью 3.2 и средним ростом зарплаты 8.9%.</w:t>
      </w:r>
    </w:p>
    <w:p>
      <w:r>
        <w:t>Главный фактор риска для подразделения «Финансы» — satisfaction со средним вкладом 1.1 балла на сотрудника. Рекомендуемые меры: запустить программу вовлечённости сотрудников с ежемесячными пульс-опросами.</w:t>
      </w:r>
    </w:p>
    <w:p>
      <w:r>
        <w:t>Рекомендуемый бюджет мер для «Финансы»: 7 124 000 ₽.</w:t>
      </w:r>
    </w:p>
    <w:p>
      <w:pPr>
        <w:pStyle w:val="Heading1"/>
      </w:pPr>
      <w:r>
        <w:t>Обзор бюджета</w:t>
      </w:r>
    </w:p>
    <w:p>
      <w:r>
        <w:t>Общий бюджет мер удержания по всем подразделениям составляет 51 464 000 ₽. Он рассчитан как 5 000 ₽ на каждого сотрудника категории High и 2 000 ₽ на каждого сотрудника категории Medium.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Подразделение</w:t>
            </w:r>
          </w:p>
        </w:tc>
        <w:tc>
          <w:tcPr>
            <w:tcW w:type="dxa" w:w="2880"/>
          </w:tcPr>
          <w:p>
            <w:r>
              <w:t>Бюджет High-риска</w:t>
            </w:r>
          </w:p>
        </w:tc>
        <w:tc>
          <w:tcPr>
            <w:tcW w:type="dxa" w:w="2880"/>
          </w:tcPr>
          <w:p>
            <w:r>
              <w:t>Общий бюджет</w:t>
            </w:r>
          </w:p>
        </w:tc>
      </w:tr>
      <w:tr>
        <w:tc>
          <w:tcPr>
            <w:tcW w:type="dxa" w:w="2880"/>
          </w:tcPr>
          <w:p>
            <w:r>
              <w:t>Инженерия</w:t>
            </w:r>
          </w:p>
        </w:tc>
        <w:tc>
          <w:tcPr>
            <w:tcW w:type="dxa" w:w="2880"/>
          </w:tcPr>
          <w:p>
            <w:r>
              <w:t>3 370 000 ₽</w:t>
            </w:r>
          </w:p>
        </w:tc>
        <w:tc>
          <w:tcPr>
            <w:tcW w:type="dxa" w:w="2880"/>
          </w:tcPr>
          <w:p>
            <w:r>
              <w:t>7 262 000 ₽</w:t>
            </w:r>
          </w:p>
        </w:tc>
      </w:tr>
      <w:tr>
        <w:tc>
          <w:tcPr>
            <w:tcW w:type="dxa" w:w="2880"/>
          </w:tcPr>
          <w:p>
            <w:r>
              <w:t>Кадры</w:t>
            </w:r>
          </w:p>
        </w:tc>
        <w:tc>
          <w:tcPr>
            <w:tcW w:type="dxa" w:w="2880"/>
          </w:tcPr>
          <w:p>
            <w:r>
              <w:t>3 245 000 ₽</w:t>
            </w:r>
          </w:p>
        </w:tc>
        <w:tc>
          <w:tcPr>
            <w:tcW w:type="dxa" w:w="2880"/>
          </w:tcPr>
          <w:p>
            <w:r>
              <w:t>7 307 000 ₽</w:t>
            </w:r>
          </w:p>
        </w:tc>
      </w:tr>
      <w:tr>
        <w:tc>
          <w:tcPr>
            <w:tcW w:type="dxa" w:w="2880"/>
          </w:tcPr>
          <w:p>
            <w:r>
              <w:t>НИОКР</w:t>
            </w:r>
          </w:p>
        </w:tc>
        <w:tc>
          <w:tcPr>
            <w:tcW w:type="dxa" w:w="2880"/>
          </w:tcPr>
          <w:p>
            <w:r>
              <w:t>3 375 000 ₽</w:t>
            </w:r>
          </w:p>
        </w:tc>
        <w:tc>
          <w:tcPr>
            <w:tcW w:type="dxa" w:w="2880"/>
          </w:tcPr>
          <w:p>
            <w:r>
              <w:t>7 415 000 ₽</w:t>
            </w:r>
          </w:p>
        </w:tc>
      </w:tr>
      <w:tr>
        <w:tc>
          <w:tcPr>
            <w:tcW w:type="dxa" w:w="2880"/>
          </w:tcPr>
          <w:p>
            <w:r>
              <w:t>Операции</w:t>
            </w:r>
          </w:p>
        </w:tc>
        <w:tc>
          <w:tcPr>
            <w:tcW w:type="dxa" w:w="2880"/>
          </w:tcPr>
          <w:p>
            <w:r>
              <w:t>3 290 000 ₽</w:t>
            </w:r>
          </w:p>
        </w:tc>
        <w:tc>
          <w:tcPr>
            <w:tcW w:type="dxa" w:w="2880"/>
          </w:tcPr>
          <w:p>
            <w:r>
              <w:t>7 348 000 ₽</w:t>
            </w:r>
          </w:p>
        </w:tc>
      </w:tr>
      <w:tr>
        <w:tc>
          <w:tcPr>
            <w:tcW w:type="dxa" w:w="2880"/>
          </w:tcPr>
          <w:p>
            <w:r>
              <w:t>Поддержка</w:t>
            </w:r>
          </w:p>
        </w:tc>
        <w:tc>
          <w:tcPr>
            <w:tcW w:type="dxa" w:w="2880"/>
          </w:tcPr>
          <w:p>
            <w:r>
              <w:t>3 315 000 ₽</w:t>
            </w:r>
          </w:p>
        </w:tc>
        <w:tc>
          <w:tcPr>
            <w:tcW w:type="dxa" w:w="2880"/>
          </w:tcPr>
          <w:p>
            <w:r>
              <w:t>7 435 000 ₽</w:t>
            </w:r>
          </w:p>
        </w:tc>
      </w:tr>
      <w:tr>
        <w:tc>
          <w:tcPr>
            <w:tcW w:type="dxa" w:w="2880"/>
          </w:tcPr>
          <w:p>
            <w:r>
              <w:t>Продажи</w:t>
            </w:r>
          </w:p>
        </w:tc>
        <w:tc>
          <w:tcPr>
            <w:tcW w:type="dxa" w:w="2880"/>
          </w:tcPr>
          <w:p>
            <w:r>
              <w:t>3 505 000 ₽</w:t>
            </w:r>
          </w:p>
        </w:tc>
        <w:tc>
          <w:tcPr>
            <w:tcW w:type="dxa" w:w="2880"/>
          </w:tcPr>
          <w:p>
            <w:r>
              <w:t>7 573 000 ₽</w:t>
            </w:r>
          </w:p>
        </w:tc>
      </w:tr>
      <w:tr>
        <w:tc>
          <w:tcPr>
            <w:tcW w:type="dxa" w:w="2880"/>
          </w:tcPr>
          <w:p>
            <w:r>
              <w:t>Финансы</w:t>
            </w:r>
          </w:p>
        </w:tc>
        <w:tc>
          <w:tcPr>
            <w:tcW w:type="dxa" w:w="2880"/>
          </w:tcPr>
          <w:p>
            <w:r>
              <w:t>3 150 000 ₽</w:t>
            </w:r>
          </w:p>
        </w:tc>
        <w:tc>
          <w:tcPr>
            <w:tcW w:type="dxa" w:w="2880"/>
          </w:tcPr>
          <w:p>
            <w:r>
              <w:t>7 124 000 ₽</w:t>
            </w:r>
          </w:p>
        </w:tc>
      </w:tr>
    </w:tbl>
    <w:p>
      <w:pPr>
        <w:pStyle w:val="Heading1"/>
      </w:pPr>
      <w:r>
        <w:t>Рекомендуемые меры</w:t>
      </w:r>
    </w:p>
    <w:p>
      <w:r>
        <w:t>По итогам анализа рекомендуются следующие общеорганизационные меры:</w:t>
      </w:r>
    </w:p>
    <w:p>
      <w:r>
        <w:t>1. Запустить адресные программы вовлечённости в подразделениях с наибольшей долей риска оттока.</w:t>
      </w:r>
    </w:p>
    <w:p>
      <w:r>
        <w:t>2. Провести проверку справедливости оплаты для опытных сотрудников, чья зарплата ниже медианы подразделения.</w:t>
      </w:r>
    </w:p>
    <w:p>
      <w:r>
        <w:t>3. Внедрить ежеквартальные пульс-опросы для отслеживания изменений уровня удовлетворённости работой.</w:t>
      </w:r>
    </w:p>
    <w:p>
      <w:r>
        <w:t>4. Создать программы наставничества для сотрудников с низкой результативностью для поддержки карьерного роста.</w:t>
      </w:r>
    </w:p>
    <w:p>
      <w:pPr>
        <w:pStyle w:val="Heading1"/>
      </w:pPr>
      <w:r>
        <w:t>Сроки</w:t>
      </w:r>
    </w:p>
    <w:p>
      <w:r>
        <w:t>Неделя 16-20 марта 2026 г.: встречи-обзоры с руководителями всех подразделений для обсуждения результатов и планов мер.</w:t>
      </w:r>
    </w:p>
    <w:p>
      <w:r>
        <w:t>Апрель 2026 г.: начало внедрения приоритетных мер для сотрудников категории High.</w:t>
      </w:r>
    </w:p>
    <w:p>
      <w:r>
        <w:t>Июнь 2026 г.: промежуточная проверка для оценки первого эффекта программ.</w:t>
      </w:r>
    </w:p>
    <w:p>
      <w:r>
        <w:t>Сентябрь 2026 г.: полная переоценка показателей риска оттока для измерения эффективности.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