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Региональный прогноз продаж</w:t>
      </w:r>
    </w:p>
    <w:p>
      <w:pPr>
        <w:pStyle w:val="Heading1"/>
      </w:pPr>
      <w:r>
        <w:t>Краткое резюме</w:t>
      </w:r>
    </w:p>
    <w:p>
      <w:r>
        <w:t>В настоящем отчёте представлен региональный прогноз продаж на I квартал 2026 года, объединяющий исторические данные о продажах за IV квартал 2025 года с региональными экономическими показателями. Используя методологию скользящей средней за 3 месяца с корректировкой на темпы роста ВВП, мы прогнозируем совокупную выручку I квартала 2026 года на уровне около $402 638,85, что отражает умеренный рост по сравнению с показателем IV квартала 2025 года в размере $393 653,23.</w:t>
      </w:r>
    </w:p>
    <w:p>
      <w:pPr>
        <w:pStyle w:val="Heading1"/>
      </w:pPr>
      <w:r>
        <w:t>Методология</w:t>
      </w:r>
    </w:p>
    <w:p>
      <w:r>
        <w:t>Методология прогнозирования использует скользящую среднюю месячной выручки за 3 месяца (октябрь–декабрь 2025 года) с корректировкой на региональные темпы роста ВВП. Применяемая формула: Месячный прогноз = Скользящая средняя за 3 месяца x (1 + Темп роста ВВП / 100). Квартальный прогноз затем рассчитывается как утроенный скорректированный месячный прогноз. Данные по экономическим показателям получены из внешних экономических отчётов (API экономических индикаторов).</w:t>
      </w:r>
    </w:p>
    <w:p>
      <w:pPr>
        <w:pStyle w:val="Heading1"/>
      </w:pPr>
      <w:r>
        <w:t>Региональный анализ</w:t>
      </w:r>
    </w:p>
    <w:p>
      <w:r>
        <w:t>Азиатско-Тихоокеанский регион лидирует в прогнозе с проектной выручкой I квартала $93 992,02, что обусловлено самым высоким темпом роста ВВП — 3,8% среди всех регионов. Этот сильный экономический фактор в сочетании с устойчивыми результатами IV квартала делает Азиатско-Тихоокеанский регион нашим наиболее перспективным регионом на предстоящий квартал.</w:t>
      </w:r>
    </w:p>
    <w:p>
      <w:r>
        <w:t>Северная Америка прогнозирует выручку $82 404,74 в I квартале при умеренном росте ВВП 2,1%. Регион показал стабильную динамику в течение месяцев IV квартала 2025 года. Европа прогнозирует $73 711,86 при росте ВВП 1,5%. Латинская Америка прогнозирует $76 586,30 при росте ВВП 1,2%, а Ближний Восток — $75 943,93 при росте ВВП 2,5%.</w:t>
      </w:r>
    </w:p>
    <w:p>
      <w:pPr>
        <w:pStyle w:val="Heading1"/>
      </w:pPr>
      <w:r>
        <w:t>Ключевые допущения</w:t>
      </w:r>
    </w:p>
    <w:p>
      <w:r>
        <w:t>Данный прогноз предполагает, что недавние тенденции продаж сохранятся в следующем квартале, что экономические условия останутся на уровне текущих прогнозов роста ВВП и что не произойдёт значительных рыночных потрясений. Модель не учитывает сезонные колебания сверх тех, что отражены в скользящей средней, и не учитывает эффекты запуска продуктов или промоакций.</w:t>
      </w:r>
    </w:p>
    <w:p>
      <w:pPr>
        <w:pStyle w:val="Heading1"/>
      </w:pPr>
      <w:r>
        <w:t>Рекомендации</w:t>
      </w:r>
    </w:p>
    <w:p>
      <w:r>
        <w:t>Мы рекомендуем увеличить инвестиции в Азиатско-Тихоокеанский регион с учётом благоприятной экономической ситуации и сильной траектории роста. Для Европы стоит рассмотреть таргетированные кампании, чтобы компенсировать более медленный экономический рост. Латинская Америка демонстрирует самый низкий рост ВВП и может выиграть от инициатив по развитию рынка. Все регионы следует ежемесячно отслеживать относительно прогнозов с корректировками в середине квартала по мере необходимости.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