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Аудит соблюдения договоров с поставщиками — детальные выводы</w:t>
      </w:r>
    </w:p>
    <w:p>
      <w:pPr>
        <w:pStyle w:val="Heading1"/>
      </w:pPr>
      <w:r>
        <w:t>Краткое резюме</w:t>
      </w:r>
    </w:p>
    <w:p>
      <w:r>
        <w:t>В рамках аудита рассмотрены договоры с пятью основными поставщиками с совокупным годовым объёмом 103,6 млн рублей. Общий уровень соблюдения умеренный; выявлены существенные пробелы, требующие внимания в части ограничения ответственности, соглашений об уровне обслуживания и определения прав на интеллектуальную собственность.</w:t>
      </w:r>
    </w:p>
    <w:p>
      <w:pPr>
        <w:pStyle w:val="Heading1"/>
      </w:pPr>
      <w:r>
        <w:t>ООО ТехСервис — сводка по выводам</w:t>
      </w:r>
    </w:p>
    <w:p>
      <w:r>
        <w:t>Compliance Score: 85/100</w:t>
      </w:r>
    </w:p>
    <w:p>
      <w:r>
        <w:t>Пробел: отсутствует условие об ограничении ответственности</w:t>
      </w:r>
    </w:p>
    <w:p>
      <w:r>
        <w:t>Уровень риска (Risk Level): Medium</w:t>
      </w:r>
    </w:p>
    <w:p>
      <w:r>
        <w:t>Рекомендация: Внести в договор ограничение ответственности на 12 месяцев</w:t>
      </w:r>
    </w:p>
    <w:p>
      <w:pPr>
        <w:pStyle w:val="Heading1"/>
      </w:pPr>
      <w:r>
        <w:t>Глобал Логистика — сводка по выводам</w:t>
      </w:r>
    </w:p>
    <w:p>
      <w:r>
        <w:t>Compliance Score: 72/100</w:t>
      </w:r>
    </w:p>
    <w:p>
      <w:r>
        <w:t>Пробел: отсутствует определение соглашения об уровне обслуживания (SLA)</w:t>
      </w:r>
    </w:p>
    <w:p>
      <w:r>
        <w:t>Пробел: условие о конфиденциальности недостаточно для обработки чувствительных данных</w:t>
      </w:r>
    </w:p>
    <w:p>
      <w:r>
        <w:t>Уровень риска (Risk Level): Medium</w:t>
      </w:r>
    </w:p>
    <w:p>
      <w:r>
        <w:t>Рекомендация: Дополнить договор полноценным приложением об SLA</w:t>
      </w:r>
    </w:p>
    <w:p>
      <w:pPr>
        <w:pStyle w:val="Heading1"/>
      </w:pPr>
      <w:r>
        <w:t>КонтролКачество — сводка по выводам</w:t>
      </w:r>
    </w:p>
    <w:p>
      <w:r>
        <w:t>Compliance Score: 80/100</w:t>
      </w:r>
    </w:p>
    <w:p>
      <w:r>
        <w:t>Пробел: условия оплаты противоречат политике компании</w:t>
      </w:r>
    </w:p>
    <w:p>
      <w:r>
        <w:t>Пробел: стандарты качества явно не определены</w:t>
      </w:r>
    </w:p>
    <w:p>
      <w:r>
        <w:t>Уровень риска (Risk Level): High</w:t>
      </w:r>
    </w:p>
    <w:p>
      <w:r>
        <w:t>Рекомендация: Пересмотреть условия оплаты и добавить приложение со стандартами качества</w:t>
      </w:r>
    </w:p>
    <w:p>
      <w:pPr>
        <w:pStyle w:val="Heading1"/>
      </w:pPr>
      <w:r>
        <w:t>КонсалтГрупп — сводка по выводам</w:t>
      </w:r>
    </w:p>
    <w:p>
      <w:r>
        <w:t>Compliance Score: 75/100</w:t>
      </w:r>
    </w:p>
    <w:p>
      <w:r>
        <w:t>Пробел: предмет услуг размыт и неконкретен</w:t>
      </w:r>
    </w:p>
    <w:p>
      <w:r>
        <w:t>Пробел: право собственности на интеллектуальную собственность неоднозначно</w:t>
      </w:r>
    </w:p>
    <w:p>
      <w:r>
        <w:t>Уровень риска (Risk Level): Low</w:t>
      </w:r>
    </w:p>
    <w:p>
      <w:r>
        <w:t>Рекомендация: Уточнить предмет услуг и установить чёткое право на ИС</w:t>
      </w:r>
    </w:p>
    <w:p>
      <w:pPr>
        <w:pStyle w:val="Heading1"/>
      </w:pPr>
      <w:r>
        <w:t>СервисПоддержка — сводка по выводам</w:t>
      </w:r>
    </w:p>
    <w:p>
      <w:r>
        <w:t>Compliance Score: 95/100</w:t>
      </w:r>
    </w:p>
    <w:p>
      <w:r>
        <w:t>Статус: в основном соответствует всем ключевым требованиям</w:t>
      </w:r>
    </w:p>
    <w:p>
      <w:r>
        <w:t>Уровень риска (Risk Level): Low</w:t>
      </w:r>
    </w:p>
    <w:p>
      <w:r>
        <w:t>Рекомендация: Сохранить текущий договор с ежегодной проверкой соответствия</w:t>
      </w:r>
    </w:p>
    <w:p>
      <w:pPr>
        <w:pStyle w:val="Heading1"/>
      </w:pPr>
      <w:r>
        <w:t>Выявленные ключевые зоны риска</w:t>
      </w:r>
    </w:p>
    <w:p>
      <w:r>
        <w:t>Ограничение ответственности: в двух договорах отсутствуют адекватные ограничения ответственности, что подвергает компанию риску неограниченных убытков</w:t>
      </w:r>
    </w:p>
    <w:p>
      <w:r>
        <w:t>Соглашения об уровне обслуживания: у двух поставщиков отсутствуют определённые SLA, что создаёт операционную неопределённость</w:t>
      </w:r>
    </w:p>
    <w:p>
      <w:r>
        <w:t>Интеллектуальная собственность: в двух договорах неоднозначны условия о праве на ИС</w:t>
      </w:r>
    </w:p>
    <w:p>
      <w:r>
        <w:t>Условия оплаты: один договор нарушает стандартную платёжную политику компании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